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1E80D433" w:rsidR="00C01834" w:rsidRPr="00AD2F54" w:rsidRDefault="00C92ECE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90EDF" wp14:editId="48C18AE6">
                <wp:simplePos x="0" y="0"/>
                <wp:positionH relativeFrom="column">
                  <wp:posOffset>1895475</wp:posOffset>
                </wp:positionH>
                <wp:positionV relativeFrom="paragraph">
                  <wp:posOffset>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E52" w14:textId="214E8632" w:rsidR="00C92ECE" w:rsidRPr="00900EC6" w:rsidRDefault="00C92ECE" w:rsidP="00606EA5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E57A1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auto"/>
                                <w:sz w:val="32"/>
                                <w:szCs w:val="32"/>
                              </w:rPr>
                              <w:t>Planowanie i prowadzenie badań w dietetyce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0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9.25pt;margin-top:0;width:360.95pt;height: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8bFUcN8AAAAJAQAADwAAAGRycy9kb3ducmV2LnhtbEyPzU7DMBCE70i8g7VIXBC1SUpJQpwK&#10;IYHgBgXB1Y23SYR/gu2m4e3ZnuC2oxnNflOvZ2vYhCEO3km4Wghg6FqvB9dJeH97uCyAxaScVsY7&#10;lPCDEdbN6UmtKu0P7hWnTeoYlbhYKQl9SmPFeWx7tCou/IiOvJ0PViWSoeM6qAOVW8MzIVbcqsHR&#10;h16NeN9j+7XZWwnF8mn6jM/5y0e72pkyXdxMj99ByvOz+e4WWMI5/YXhiE/o0BDT1u+djsxIyMri&#10;mqISaNHRFplYAtvSlZc58Kbm/xc0vwA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x&#10;sVRw3wAAAAkBAAAPAAAAAAAAAAAAAAAAAGkEAABkcnMvZG93bnJldi54bWxQSwUGAAAAAAQABADz&#10;AAAAdQUAAAAA&#10;">
                <v:textbox>
                  <w:txbxContent>
                    <w:p w14:paraId="2E017E52" w14:textId="214E8632" w:rsidR="00C92ECE" w:rsidRPr="00900EC6" w:rsidRDefault="00C92ECE" w:rsidP="00606EA5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3E57A1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auto"/>
                          <w:sz w:val="32"/>
                          <w:szCs w:val="32"/>
                        </w:rPr>
                        <w:t>Planowanie i prowadzenie badań w dietetyce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47452C43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33C6F2AE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1F1679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5D9D80" w14:textId="7519BD04" w:rsidR="009E635F" w:rsidRPr="00C92ECE" w:rsidRDefault="009E635F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Metryczka</w:t>
            </w:r>
          </w:p>
        </w:tc>
      </w:tr>
      <w:tr w:rsidR="00470E8F" w:rsidRPr="00C01834" w14:paraId="29DFFF33" w14:textId="77777777" w:rsidTr="000859FB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674CB84D" w:rsidR="00470E8F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</w:tr>
      <w:tr w:rsidR="00C01834" w:rsidRPr="00C01834" w14:paraId="20267CE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1A105DC1" w:rsidR="00C01834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Wydział Nauk o Zdrowiu</w:t>
            </w:r>
          </w:p>
        </w:tc>
      </w:tr>
      <w:tr w:rsidR="00C01834" w:rsidRPr="00C01834" w14:paraId="4E6AAF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6F1B395D" w:rsidR="00C01834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Dietetyka</w:t>
            </w:r>
          </w:p>
        </w:tc>
      </w:tr>
      <w:tr w:rsidR="00C01834" w:rsidRPr="00C01834" w14:paraId="183C2E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404839BA" w:rsidR="00C01834" w:rsidRPr="00C01834" w:rsidRDefault="00470E8F" w:rsidP="00E53357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  <w:r w:rsidR="00A63CE6"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27E15E37" w:rsidR="00C01834" w:rsidRPr="00511ACE" w:rsidRDefault="004B3229" w:rsidP="00E53357">
            <w:pPr>
              <w:spacing w:after="0" w:line="259" w:lineRule="auto"/>
              <w:ind w:left="0" w:right="-351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Nauki o Zdrowiu</w:t>
            </w:r>
          </w:p>
        </w:tc>
      </w:tr>
      <w:tr w:rsidR="00C01834" w:rsidRPr="00C01834" w14:paraId="71F9ED4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5AB78114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06BE997E" w:rsidR="00C01834" w:rsidRPr="00511ACE" w:rsidRDefault="004B3229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praktyczny</w:t>
            </w:r>
          </w:p>
        </w:tc>
      </w:tr>
      <w:tr w:rsidR="00C01834" w:rsidRPr="00C01834" w14:paraId="75BB47C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550C59CE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2B17BBF0" w:rsidR="00C01834" w:rsidRPr="00511ACE" w:rsidRDefault="004B3229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stopnia</w:t>
            </w:r>
          </w:p>
        </w:tc>
      </w:tr>
      <w:tr w:rsidR="00C01834" w:rsidRPr="00C01834" w14:paraId="319D6F33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3EAB1924" w:rsidR="00C01834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56D1EA5D" w:rsidR="00C01834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stacjonarne</w:t>
            </w:r>
          </w:p>
        </w:tc>
      </w:tr>
      <w:tr w:rsidR="00A63CE6" w:rsidRPr="00C01834" w14:paraId="0D560214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6802CF84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2BAFBD19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fakultatywny</w:t>
            </w:r>
          </w:p>
        </w:tc>
      </w:tr>
      <w:tr w:rsidR="00A63CE6" w:rsidRPr="00C01834" w14:paraId="5858F82D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4105F238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511ACE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1BC4211B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zaliczenie</w:t>
            </w:r>
          </w:p>
        </w:tc>
      </w:tr>
      <w:tr w:rsidR="00A63CE6" w:rsidRPr="00C01834" w14:paraId="4BC9D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9FBA0BE" w:rsidR="00A63CE6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</w:t>
            </w:r>
            <w:r w:rsidR="00511ACE" w:rsidRPr="00C01834">
              <w:rPr>
                <w:b/>
                <w:color w:val="auto"/>
              </w:rPr>
              <w:t xml:space="preserve"> prowadząca </w:t>
            </w:r>
            <w:r w:rsidRPr="00C01834">
              <w:rPr>
                <w:b/>
                <w:color w:val="auto"/>
              </w:rPr>
              <w:t xml:space="preserve">/jednostki </w:t>
            </w:r>
            <w:r w:rsidR="00511ACE" w:rsidRPr="00C01834">
              <w:rPr>
                <w:b/>
                <w:color w:val="auto"/>
              </w:rPr>
              <w:t>prowadząc</w:t>
            </w:r>
            <w:r w:rsidRPr="00C01834">
              <w:rPr>
                <w:b/>
                <w:color w:val="auto"/>
              </w:rPr>
              <w:t>e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685F30C" w14:textId="27222EAB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08175F">
              <w:rPr>
                <w:b/>
                <w:color w:val="auto"/>
              </w:rPr>
              <w:t>Zakład Edukacji i Badań w Naukach o Zdrowiu Wydziału Nauk o Zdrowiu Warszawskiego Uniwersytetu Medycznego (NZD)</w:t>
            </w:r>
          </w:p>
        </w:tc>
      </w:tr>
      <w:tr w:rsidR="006D018B" w:rsidRPr="00C01834" w14:paraId="2DE86E0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20CD8D36" w:rsidR="006D018B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08175F">
              <w:rPr>
                <w:b/>
                <w:color w:val="auto"/>
              </w:rPr>
              <w:t>Prof. dr hab. n. med. i n. o zdr. Joanna Gotlib</w:t>
            </w:r>
          </w:p>
        </w:tc>
      </w:tr>
      <w:tr w:rsidR="006D018B" w:rsidRPr="00C01834" w14:paraId="52E84EAE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735C8667" w:rsidR="006D018B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D975D70" w14:textId="612A9376" w:rsidR="006D018B" w:rsidRPr="00511ACE" w:rsidRDefault="004B3229" w:rsidP="004B3229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lang w:val="es-ES"/>
              </w:rPr>
              <w:t>Dr hab. Mariusz Jaworski</w:t>
            </w:r>
            <w:r>
              <w:rPr>
                <w:b/>
                <w:lang w:val="es-ES"/>
              </w:rPr>
              <w:br/>
            </w:r>
            <w:hyperlink r:id="rId10" w:history="1">
              <w:r w:rsidRPr="004B3229">
                <w:rPr>
                  <w:rStyle w:val="Hipercze"/>
                  <w:bCs/>
                  <w:lang w:val="es-ES"/>
                </w:rPr>
                <w:t>mariusz.jaworski@wum.edu.pl</w:t>
              </w:r>
            </w:hyperlink>
          </w:p>
        </w:tc>
      </w:tr>
      <w:tr w:rsidR="006D018B" w:rsidRPr="00C01834" w14:paraId="1C47B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7F6FDF4B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7622D" w14:textId="77777777" w:rsidR="004B3229" w:rsidRPr="007A4594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r w:rsidRPr="007A4594">
              <w:rPr>
                <w:b/>
                <w:color w:val="auto"/>
                <w:lang w:val="es-ES"/>
              </w:rPr>
              <w:t>Dr  Ilona Cieślak</w:t>
            </w:r>
          </w:p>
          <w:p w14:paraId="4F3E18BC" w14:textId="5ADE4644" w:rsidR="006D018B" w:rsidRPr="00511ACE" w:rsidRDefault="004B3229" w:rsidP="004B3229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hyperlink r:id="rId11" w:history="1">
              <w:r w:rsidRPr="00C33EFE">
                <w:rPr>
                  <w:rStyle w:val="Hipercze"/>
                  <w:lang w:val="es-ES"/>
                </w:rPr>
                <w:t>Ilona.cieslak@wum.edu.pl</w:t>
              </w:r>
            </w:hyperlink>
          </w:p>
        </w:tc>
      </w:tr>
      <w:tr w:rsidR="006D018B" w:rsidRPr="004B3229" w14:paraId="4FD7B3DA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26A1091" w14:textId="77777777" w:rsidR="004B3229" w:rsidRPr="007A4594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r w:rsidRPr="007A4594">
              <w:rPr>
                <w:b/>
                <w:color w:val="auto"/>
                <w:lang w:val="es-ES"/>
              </w:rPr>
              <w:t>Dr  Ilona Cieślak</w:t>
            </w:r>
          </w:p>
          <w:p w14:paraId="3EAF85CF" w14:textId="29950D04" w:rsidR="006D018B" w:rsidRDefault="004B3229" w:rsidP="004B3229">
            <w:pPr>
              <w:spacing w:after="0" w:line="259" w:lineRule="auto"/>
              <w:ind w:left="0" w:firstLine="0"/>
            </w:pPr>
            <w:hyperlink r:id="rId12" w:history="1">
              <w:r w:rsidRPr="00414BB8">
                <w:rPr>
                  <w:rStyle w:val="Hipercze"/>
                </w:rPr>
                <w:t>i</w:t>
              </w:r>
              <w:r w:rsidRPr="00414BB8">
                <w:rPr>
                  <w:rStyle w:val="Hipercze"/>
                  <w:lang w:val="es-ES"/>
                </w:rPr>
                <w:t>lona.cieslak@wum.edu.pl</w:t>
              </w:r>
            </w:hyperlink>
          </w:p>
          <w:p w14:paraId="2D0C66FD" w14:textId="70745A92" w:rsidR="004B3229" w:rsidRPr="004B3229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r>
              <w:rPr>
                <w:b/>
                <w:lang w:val="es-ES"/>
              </w:rPr>
              <w:t>Dr hab. Mariusz Jaworski</w:t>
            </w:r>
            <w:r>
              <w:rPr>
                <w:b/>
                <w:lang w:val="es-ES"/>
              </w:rPr>
              <w:br/>
            </w:r>
            <w:hyperlink r:id="rId13" w:history="1">
              <w:r w:rsidRPr="004B3229">
                <w:rPr>
                  <w:rStyle w:val="Hipercze"/>
                  <w:bCs/>
                  <w:lang w:val="es-ES"/>
                </w:rPr>
                <w:t>mariusz.jaworski@wum.edu.pl</w:t>
              </w:r>
            </w:hyperlink>
            <w:r>
              <w:rPr>
                <w:b/>
                <w:lang w:val="es-ES"/>
              </w:rPr>
              <w:t xml:space="preserve"> </w:t>
            </w:r>
          </w:p>
        </w:tc>
      </w:tr>
    </w:tbl>
    <w:p w14:paraId="6766E821" w14:textId="6B791988" w:rsidR="00C01834" w:rsidRPr="004B3229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  <w:lang w:val="es-ES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606EA5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606EA5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EF097C" w14:textId="77777777" w:rsidR="00C92ECE" w:rsidRPr="00C01834" w:rsidRDefault="00C92ECE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784FA8" w14:textId="38376328" w:rsidR="00C92ECE" w:rsidRPr="00C01834" w:rsidRDefault="004B3229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Rok III, semestr VI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DE7BC8" w14:textId="77777777" w:rsidR="00C92ECE" w:rsidRPr="00C01834" w:rsidRDefault="00C92ECE" w:rsidP="001F1679">
            <w:pPr>
              <w:spacing w:after="0" w:line="236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5DD52E" w14:textId="1E2A88A1" w:rsidR="00C92ECE" w:rsidRPr="00C01834" w:rsidRDefault="004B3229" w:rsidP="001F1679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C92ECE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  <w:vAlign w:val="center"/>
          </w:tcPr>
          <w:p w14:paraId="7B5A0B9E" w14:textId="325D85D5" w:rsidR="00724BB4" w:rsidRPr="00724BB4" w:rsidRDefault="00724BB4" w:rsidP="001F1679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lastRenderedPageBreak/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0103F29E" w:rsidR="00C01834" w:rsidRPr="00C01834" w:rsidRDefault="004B3229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5A1FB33F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0.4</w:t>
            </w: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1F48FD7E" w:rsidR="00C01834" w:rsidRPr="00C01834" w:rsidRDefault="004B3229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10F42A6D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0.6</w:t>
            </w: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2F9A07B1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4325E526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E53357">
        <w:trPr>
          <w:trHeight w:val="34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414BB0" w14:textId="5207770C" w:rsidR="00C92ECE" w:rsidRPr="00C92ECE" w:rsidRDefault="00C92ECE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2B6F84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710C9EED" w:rsidR="00C01834" w:rsidRPr="00DF7A2E" w:rsidRDefault="003E57A1" w:rsidP="003E57A1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Dostarczenie wiedzy na temat metodologii przygotowywania prac naukowych </w:t>
            </w:r>
          </w:p>
        </w:tc>
      </w:tr>
      <w:tr w:rsidR="003E57A1" w:rsidRPr="00C01834" w14:paraId="5FA44BF1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A1C415F" w14:textId="3EBC3659" w:rsidR="003E57A1" w:rsidRPr="00C01834" w:rsidRDefault="003E57A1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0493BC" w14:textId="5BA1193B" w:rsidR="003E57A1" w:rsidRPr="00DF7A2E" w:rsidRDefault="003E57A1" w:rsidP="003E57A1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Dostarczenie wiedzy z zakresu badań naukowych w dziedzinie żywności i żywienia </w:t>
            </w:r>
          </w:p>
        </w:tc>
      </w:tr>
      <w:tr w:rsidR="003E57A1" w:rsidRPr="00C01834" w14:paraId="5E2D63CF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4BCA52F" w14:textId="56A8A2B2" w:rsidR="003E57A1" w:rsidRPr="00C01834" w:rsidRDefault="003E57A1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19D5D7" w14:textId="49824C4C" w:rsidR="003E57A1" w:rsidRPr="00DF7A2E" w:rsidRDefault="003E57A1" w:rsidP="003E57A1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Utrwalenie umiejętności prowadzenia badań z zakresu żywności i żywienia </w:t>
            </w:r>
          </w:p>
        </w:tc>
      </w:tr>
      <w:tr w:rsidR="003E57A1" w:rsidRPr="00C01834" w14:paraId="4D74A5B2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7DD37C" w14:textId="3D0DD5CC" w:rsidR="003E57A1" w:rsidRPr="00C01834" w:rsidRDefault="003E57A1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>
              <w:rPr>
                <w:color w:val="auto"/>
              </w:rPr>
              <w:t>C4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726FAEA" w14:textId="02689376" w:rsidR="003E57A1" w:rsidRPr="00DF7A2E" w:rsidRDefault="003E57A1" w:rsidP="003E57A1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Przygotowanie do wystąpień ustnych </w:t>
            </w:r>
          </w:p>
        </w:tc>
      </w:tr>
    </w:tbl>
    <w:p w14:paraId="5560877D" w14:textId="47108A91" w:rsidR="00B8221A" w:rsidRPr="00E53357" w:rsidRDefault="00B8221A" w:rsidP="00CA3ACF">
      <w:pPr>
        <w:spacing w:after="11" w:line="259" w:lineRule="auto"/>
        <w:ind w:left="0" w:firstLine="0"/>
        <w:rPr>
          <w:b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511ACE">
        <w:trPr>
          <w:trHeight w:val="39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531BE8" w14:textId="7887220E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efekty uczenia się</w:t>
            </w:r>
          </w:p>
        </w:tc>
      </w:tr>
      <w:tr w:rsidR="00C01834" w:rsidRPr="00C01834" w14:paraId="4731D0CC" w14:textId="77777777" w:rsidTr="00511ACE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511ACE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77777777" w:rsidR="00C01834" w:rsidRPr="00C01834" w:rsidRDefault="00C01834" w:rsidP="00511AC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C01834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21649DEC" w:rsidR="00C01834" w:rsidRPr="00C01834" w:rsidRDefault="004B3229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E_W</w:t>
            </w:r>
            <w:r w:rsidR="003E57A1">
              <w:rPr>
                <w:color w:val="auto"/>
              </w:rPr>
              <w:t>23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2998EF4C" w:rsidR="00C01834" w:rsidRPr="00DF7A2E" w:rsidRDefault="003E57A1" w:rsidP="003E57A1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Objaśnia oraz charakteryzuje podstawowe pojęcia metodologii badań </w:t>
            </w:r>
          </w:p>
        </w:tc>
      </w:tr>
      <w:tr w:rsidR="003E57A1" w:rsidRPr="00C01834" w14:paraId="3220039A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1828F12" w14:textId="6C52F0A8" w:rsidR="003E57A1" w:rsidRDefault="003E57A1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E_W48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8B77C14" w14:textId="0542622D" w:rsidR="003E57A1" w:rsidRPr="00DF7A2E" w:rsidRDefault="003E57A1" w:rsidP="003E57A1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Zna i rozumie kierunki, zakres i rodzaj badań naukowych w dietetyce. </w:t>
            </w:r>
          </w:p>
        </w:tc>
      </w:tr>
      <w:tr w:rsidR="003E57A1" w:rsidRPr="00C01834" w14:paraId="1EA63672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B1E7F8" w14:textId="28315E83" w:rsidR="003E57A1" w:rsidRDefault="003E57A1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E_W49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F1CCB0B" w14:textId="0FF4744D" w:rsidR="003E57A1" w:rsidRPr="00DF7A2E" w:rsidRDefault="003E57A1" w:rsidP="003E57A1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Zna i rozumie reguły dobrych praktyk w badaniach naukowych oraz metody i techniki badawcze. Zna i rozumie zasady przygotowywania baz danych do analiz statystycznych oraz narzędzia informatyczne, testy statystyczne i zasady opracowywania wyników badań naukowych. </w:t>
            </w: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5D5E7C41" w:rsidR="00C01834" w:rsidRPr="00C01834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</w:t>
            </w:r>
            <w:r w:rsidR="00DF7A2E">
              <w:rPr>
                <w:color w:val="auto"/>
              </w:rPr>
              <w:t>03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26BE2235" w:rsidR="00C01834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Potrafi wskazywać kierunki i zakres badań naukowych w dietetyce </w:t>
            </w:r>
          </w:p>
        </w:tc>
      </w:tr>
      <w:tr w:rsidR="00C01834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045E2A64" w:rsidR="00C01834" w:rsidRPr="00C01834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</w:t>
            </w:r>
            <w:r w:rsidR="00DF7A2E">
              <w:rPr>
                <w:color w:val="auto"/>
              </w:rPr>
              <w:t>05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290DD52" w14:textId="62964A74" w:rsidR="00C01834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Potrafi zaplanować i przeprowadzić badanie naukowe i omówić jego cel oraz spodziewane wyniki. Potrafi przygotowywać bazy danych do obliczeń statystycznych oraz stosować testy parametryczne i nieparametryczne dla prób zależnych i niezależnych. </w:t>
            </w:r>
          </w:p>
        </w:tc>
      </w:tr>
      <w:tr w:rsidR="004B3229" w:rsidRPr="00C01834" w14:paraId="76586F21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3D7BBF5" w14:textId="7CB2CB4B" w:rsidR="004B3229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E_U</w:t>
            </w:r>
            <w:r w:rsidR="00DF7A2E">
              <w:rPr>
                <w:color w:val="auto"/>
              </w:rPr>
              <w:t>15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652822B" w14:textId="707D7893" w:rsidR="004B3229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Zarządza i administruje grupą, prawidłowo organizuje pracę </w:t>
            </w:r>
          </w:p>
        </w:tc>
      </w:tr>
      <w:tr w:rsidR="00DF7A2E" w:rsidRPr="00C01834" w14:paraId="56B4F66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815E849" w14:textId="0B51F42D" w:rsidR="00DF7A2E" w:rsidRDefault="00DF7A2E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E_U56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B7D0852" w14:textId="715769C9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Prezentuje w formie ustnej i pisemnej wyniki własnych działań oraz prawidłowo formułuje wnioski </w:t>
            </w:r>
          </w:p>
        </w:tc>
      </w:tr>
      <w:tr w:rsidR="00DF7A2E" w:rsidRPr="00C01834" w14:paraId="283233E5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430C503" w14:textId="76A08FCB" w:rsidR="00DF7A2E" w:rsidRDefault="00DF7A2E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E_U75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E02B04C" w14:textId="44F75F1A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Potrafi zaplanować badanie naukowe i omówić jego cel oraz spodziewane wyniki </w:t>
            </w: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0D9C3B0B" w:rsidR="00C01834" w:rsidRPr="00C01834" w:rsidRDefault="004B3229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</w:t>
            </w:r>
            <w:r w:rsidR="00C01834" w:rsidRPr="00C01834">
              <w:rPr>
                <w:color w:val="auto"/>
              </w:rPr>
              <w:t>K</w:t>
            </w:r>
            <w:r w:rsidR="00DF7A2E">
              <w:rPr>
                <w:color w:val="auto"/>
              </w:rPr>
              <w:t>05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34464405" w:rsidR="00C01834" w:rsidRPr="00DF7A2E" w:rsidRDefault="00DF7A2E" w:rsidP="00DF7A2E">
            <w:pPr>
              <w:pStyle w:val="Default"/>
              <w:rPr>
                <w:rFonts w:ascii="Calibri" w:hAnsi="Calibri" w:cs="Calibri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Bierze odpowiedzialność za działania własne i właściwie organizuje własną pracę </w:t>
            </w:r>
          </w:p>
        </w:tc>
      </w:tr>
      <w:tr w:rsidR="00DF7A2E" w:rsidRPr="00C01834" w14:paraId="3E2C80B9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304007E" w14:textId="7378D407" w:rsidR="00DF7A2E" w:rsidRDefault="00DF7A2E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E_K12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B93BFAA" w14:textId="7D0C8D79" w:rsidR="00DF7A2E" w:rsidRPr="00DF7A2E" w:rsidRDefault="00DF7A2E" w:rsidP="00DF7A2E">
            <w:pPr>
              <w:pStyle w:val="Default"/>
              <w:rPr>
                <w:rFonts w:ascii="Calibri" w:hAnsi="Calibri" w:cs="Calibri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Rozumie potrzebę uczenia się przez całe życie </w:t>
            </w:r>
          </w:p>
        </w:tc>
      </w:tr>
      <w:tr w:rsidR="00DF7A2E" w:rsidRPr="00C01834" w14:paraId="0FB9509A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E3CA2BF" w14:textId="4D96CE0B" w:rsidR="00DF7A2E" w:rsidRDefault="00DF7A2E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E_K16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73C4F41" w14:textId="4E5958C9" w:rsidR="00DF7A2E" w:rsidRPr="00DF7A2E" w:rsidRDefault="00DF7A2E" w:rsidP="00DF7A2E">
            <w:pPr>
              <w:pStyle w:val="Default"/>
              <w:rPr>
                <w:rFonts w:ascii="Calibri" w:hAnsi="Calibri" w:cs="Calibri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Pogłębia umiejętność pracy w grupie </w:t>
            </w:r>
          </w:p>
        </w:tc>
      </w:tr>
    </w:tbl>
    <w:p w14:paraId="28C04E73" w14:textId="6A9C8562" w:rsidR="00C01834" w:rsidRPr="00FC0DCA" w:rsidRDefault="00C01834" w:rsidP="00FC0DCA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511ACE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D1B80F" w14:textId="76B7FD45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6E277F50" w:rsidR="00A3096F" w:rsidRPr="00C01834" w:rsidRDefault="004B3229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Wykłady (10 godz.)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CD1297" w14:textId="77777777" w:rsidR="00DF7A2E" w:rsidRDefault="00DF7A2E" w:rsidP="00DF7A2E">
            <w:pPr>
              <w:pStyle w:val="Default"/>
              <w:rPr>
                <w:color w:val="auto"/>
              </w:rPr>
            </w:pPr>
          </w:p>
          <w:p w14:paraId="6C20BC99" w14:textId="3EF01778" w:rsidR="00DF7A2E" w:rsidRDefault="00DF7A2E" w:rsidP="00DF7A2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Etyka prowadzenia badania naukowego; nierzetelności w nauce; etyka publikacyjna </w:t>
            </w:r>
          </w:p>
          <w:p w14:paraId="4729BF5A" w14:textId="77777777" w:rsidR="00DF7A2E" w:rsidRDefault="00DF7A2E" w:rsidP="00DF7A2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Dobra praktyka kliniczna w badaniach naukowych i klinicznych (GCP) </w:t>
            </w:r>
          </w:p>
          <w:p w14:paraId="08B3AA34" w14:textId="66222672" w:rsidR="00DF7A2E" w:rsidRPr="00DF7A2E" w:rsidRDefault="00DF7A2E" w:rsidP="00DF7A2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Przygotowanie badania interwencyjnego w dietetyce </w:t>
            </w:r>
          </w:p>
          <w:p w14:paraId="0485E40C" w14:textId="5271AFFC" w:rsidR="00A3096F" w:rsidRPr="002955D8" w:rsidRDefault="00A3096F" w:rsidP="00DF7A2E">
            <w:pPr>
              <w:spacing w:after="160" w:line="278" w:lineRule="auto"/>
              <w:ind w:left="0" w:firstLine="0"/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351AE7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E_W23 </w:t>
            </w:r>
          </w:p>
          <w:p w14:paraId="5355CBEF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E_W48 </w:t>
            </w:r>
          </w:p>
          <w:p w14:paraId="1D7D7C9F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E_W49 </w:t>
            </w:r>
          </w:p>
          <w:p w14:paraId="7222AFB5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E_U03 </w:t>
            </w:r>
          </w:p>
          <w:p w14:paraId="607A63EF" w14:textId="35B65F5F" w:rsidR="002955D8" w:rsidRPr="00C01834" w:rsidRDefault="00DF7A2E" w:rsidP="00DF7A2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F7A2E">
              <w:rPr>
                <w:rFonts w:asciiTheme="minorHAnsi" w:hAnsiTheme="minorHAnsi" w:cstheme="minorHAnsi"/>
                <w:szCs w:val="18"/>
              </w:rPr>
              <w:t>E_K12</w:t>
            </w:r>
            <w:r>
              <w:rPr>
                <w:szCs w:val="18"/>
              </w:rPr>
              <w:t xml:space="preserve"> </w:t>
            </w:r>
          </w:p>
        </w:tc>
      </w:tr>
      <w:tr w:rsidR="00A3096F" w:rsidRPr="00C01834" w14:paraId="6B8FA3CA" w14:textId="5258BF42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65DA5D5" w14:textId="626A0365" w:rsidR="00A3096F" w:rsidRPr="00C01834" w:rsidRDefault="004B3229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Seminaria (15 godzin.)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61AD173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4AB7E21B" w14:textId="0B69F3AA" w:rsidR="00DF7A2E" w:rsidRDefault="00DF7A2E" w:rsidP="00DF7A2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Ogólna charakterystyka etapów planowania badań interwencyjnych, opis badań interwencyjnych, ich zastosowanie, możliwości ich realizacji, ich skuteczność </w:t>
            </w:r>
          </w:p>
          <w:p w14:paraId="7F2BD9B1" w14:textId="77777777" w:rsidR="00DF7A2E" w:rsidRDefault="00DF7A2E" w:rsidP="00DF7A2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Określanie celu i hipotez w badaniach interwencyjnych – w jaki sposób przeprowadzić przegląd literatury </w:t>
            </w:r>
          </w:p>
          <w:p w14:paraId="2A52B82C" w14:textId="77777777" w:rsidR="00DF7A2E" w:rsidRDefault="00DF7A2E" w:rsidP="00DF7A2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Dobór próby w badaniu interwencyjnym, analiza liczebności próby; jak dobrać narzędzia badawcze w dietetyce </w:t>
            </w:r>
          </w:p>
          <w:p w14:paraId="16E09C65" w14:textId="3CA8946C" w:rsidR="00DF7A2E" w:rsidRPr="00DF7A2E" w:rsidRDefault="00DF7A2E" w:rsidP="00DF7A2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Zajęcia zaliczeniowe: prezentacja projektów przez każdą z grup studentów </w:t>
            </w:r>
          </w:p>
          <w:p w14:paraId="21AFAD14" w14:textId="1AFCD1C4" w:rsidR="00A3096F" w:rsidRPr="00DF7A2E" w:rsidRDefault="00A3096F" w:rsidP="00DF7A2E">
            <w:pPr>
              <w:spacing w:after="160" w:line="278" w:lineRule="auto"/>
              <w:ind w:left="0" w:firstLine="0"/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1829EC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E_U05 </w:t>
            </w:r>
          </w:p>
          <w:p w14:paraId="750D3E23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E_U15 </w:t>
            </w:r>
          </w:p>
          <w:p w14:paraId="1815CB37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E_U56 </w:t>
            </w:r>
          </w:p>
          <w:p w14:paraId="1721B242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E_U75 </w:t>
            </w:r>
          </w:p>
          <w:p w14:paraId="02C04713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E_K05 </w:t>
            </w:r>
          </w:p>
          <w:p w14:paraId="2573671D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E_K12 </w:t>
            </w:r>
          </w:p>
          <w:p w14:paraId="31AE3559" w14:textId="7108B913" w:rsidR="002955D8" w:rsidRPr="00DF7A2E" w:rsidRDefault="00DF7A2E" w:rsidP="00DF7A2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F7A2E">
              <w:rPr>
                <w:szCs w:val="18"/>
              </w:rPr>
              <w:t xml:space="preserve">E_K16 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5000" w:type="pct"/>
        <w:tblInd w:w="0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88"/>
      </w:tblGrid>
      <w:tr w:rsidR="002955D8" w:rsidRPr="00C01834" w14:paraId="2D101F15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8C8D28" w14:textId="0D52F38E" w:rsidR="00014630" w:rsidRPr="00014630" w:rsidRDefault="00014630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2955D8" w:rsidRPr="00C01834" w14:paraId="61C9AAC8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2955D8" w:rsidRPr="00C01834" w14:paraId="493D1E2C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FB9F9B9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1. Materiały z wykładów i seminariów </w:t>
            </w:r>
          </w:p>
          <w:p w14:paraId="7CAE16E1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2. Gajda R., Broniecka A. Metodologia badań żywieniowych Akademia Wychowania Fizycznego Wrocław 2018 </w:t>
            </w:r>
          </w:p>
          <w:p w14:paraId="3DB0AC6D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3. Gronowska-Senger A. Przewodnik metodyczny badań sposobu żywienia. Komitet Nauki o Żywieniu Człowieka PAN Warszawa 2013 </w:t>
            </w:r>
          </w:p>
          <w:p w14:paraId="3DD3A0A6" w14:textId="77777777" w:rsidR="00DF7A2E" w:rsidRPr="00DF7A2E" w:rsidRDefault="00DF7A2E" w:rsidP="00DF7A2E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 xml:space="preserve">4. Hajduk Z. Ogólna metodologia nauk, Lublin 2007 </w:t>
            </w:r>
          </w:p>
          <w:p w14:paraId="10528821" w14:textId="7C81D660" w:rsidR="002955D8" w:rsidRPr="00DF7A2E" w:rsidRDefault="00DF7A2E" w:rsidP="00DF7A2E">
            <w:pPr>
              <w:pStyle w:val="Default"/>
              <w:rPr>
                <w:sz w:val="18"/>
                <w:szCs w:val="18"/>
              </w:rPr>
            </w:pPr>
            <w:r w:rsidRPr="00DF7A2E">
              <w:rPr>
                <w:rFonts w:ascii="Calibri" w:hAnsi="Calibri" w:cs="Calibri"/>
                <w:sz w:val="18"/>
                <w:szCs w:val="18"/>
              </w:rPr>
              <w:t>5. Oppenheim A. Kwestionariusze, wywiady, pomiary postaw, Poznań 2004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955D8" w:rsidRPr="00C01834" w14:paraId="5412C923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2955D8" w:rsidRPr="00C01834" w14:paraId="2B0597DD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7807E54B" w:rsidR="00014630" w:rsidRPr="00C01834" w:rsidRDefault="00DF7A2E" w:rsidP="002955D8">
            <w:pPr>
              <w:spacing w:after="0" w:line="259" w:lineRule="auto"/>
              <w:ind w:left="0" w:right="1767" w:firstLine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511ACE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511ACE">
            <w:pPr>
              <w:pStyle w:val="Akapitzlist"/>
              <w:numPr>
                <w:ilvl w:val="0"/>
                <w:numId w:val="1"/>
              </w:numPr>
              <w:rPr>
                <w:smallCaps/>
                <w:color w:val="auto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40F20003" w:rsidR="00A3096F" w:rsidRPr="00C01834" w:rsidRDefault="0005596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511ACE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77777777" w:rsidR="00A3096F" w:rsidRPr="00AD2F54" w:rsidRDefault="00A3096F" w:rsidP="00511ACE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A.W1, A.U1, 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00EDFBD3" w:rsidR="00A3096F" w:rsidRPr="00AD2F54" w:rsidRDefault="00A3096F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Pole definiuje metody wykorzystywane do oceniania studentów, np. kartkówka, kolokwium, raport z ćwiczeń itp.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C33C0E3" w14:textId="6B77F67A" w:rsidR="00A3096F" w:rsidRPr="00AD2F54" w:rsidRDefault="00A3096F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próg zaliczeniowy</w:t>
            </w:r>
          </w:p>
        </w:tc>
      </w:tr>
      <w:tr w:rsidR="00A3096F" w:rsidRPr="00C01834" w14:paraId="059BC205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15C8A60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E_W23 </w:t>
            </w:r>
          </w:p>
          <w:p w14:paraId="56353042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E_W48 </w:t>
            </w:r>
          </w:p>
          <w:p w14:paraId="51893456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E_W49 </w:t>
            </w:r>
          </w:p>
          <w:p w14:paraId="74112615" w14:textId="60F19BAC" w:rsidR="00A3096F" w:rsidRPr="00DF7A2E" w:rsidRDefault="00DF7A2E" w:rsidP="00DF7A2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szCs w:val="18"/>
              </w:rPr>
              <w:t xml:space="preserve">E_U03 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5B468C7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Elektroniczne kolokwium testowe zaliczające treści prezentowane na wykładach i podczas seminarium </w:t>
            </w:r>
          </w:p>
          <w:p w14:paraId="7777E1DE" w14:textId="150678D0" w:rsidR="00A3096F" w:rsidRPr="00DF7A2E" w:rsidRDefault="00A3096F" w:rsidP="00D773D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78B0AD3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Test w formie elektronicznej,</w:t>
            </w:r>
          </w:p>
          <w:p w14:paraId="5C2B1E50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składający się z 30 pytań,</w:t>
            </w:r>
          </w:p>
          <w:p w14:paraId="7D36BED9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jednokrotnego wyboru</w:t>
            </w:r>
          </w:p>
          <w:p w14:paraId="3844783A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&lt;51% – 2,0 (ndst)</w:t>
            </w:r>
          </w:p>
          <w:p w14:paraId="35C52A67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51-60% - 3,0 (dost)</w:t>
            </w:r>
          </w:p>
          <w:p w14:paraId="67F88962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61-70% - 3,5 (ddb)</w:t>
            </w:r>
          </w:p>
          <w:p w14:paraId="44BB57E2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71-80% - 4,0 (db)</w:t>
            </w:r>
          </w:p>
          <w:p w14:paraId="6227466D" w14:textId="77777777" w:rsidR="00A957E3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81-90% - 4,5 (pdb)</w:t>
            </w:r>
          </w:p>
          <w:p w14:paraId="4D20FD21" w14:textId="15D0855C" w:rsidR="00A3096F" w:rsidRPr="00DF7A2E" w:rsidRDefault="00A957E3" w:rsidP="00A95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color w:val="auto"/>
              </w:rPr>
              <w:t>&gt;90% - 5,0 (bdb)</w:t>
            </w:r>
          </w:p>
        </w:tc>
      </w:tr>
      <w:tr w:rsidR="002955D8" w:rsidRPr="00C01834" w14:paraId="0D62BD7B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6632C43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E_U05 </w:t>
            </w:r>
          </w:p>
          <w:p w14:paraId="45A5C2BB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E_U15 </w:t>
            </w:r>
          </w:p>
          <w:p w14:paraId="032C6936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E_U56 </w:t>
            </w:r>
          </w:p>
          <w:p w14:paraId="59CCF7F6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E_U75 </w:t>
            </w:r>
          </w:p>
          <w:p w14:paraId="27516CD1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E_K05 </w:t>
            </w:r>
          </w:p>
          <w:p w14:paraId="79C84D3D" w14:textId="77777777" w:rsidR="00DF7A2E" w:rsidRPr="00DF7A2E" w:rsidRDefault="00DF7A2E" w:rsidP="00DF7A2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E_K12 </w:t>
            </w:r>
          </w:p>
          <w:p w14:paraId="0E17A9ED" w14:textId="2AA74C79" w:rsidR="002955D8" w:rsidRPr="00DF7A2E" w:rsidRDefault="00DF7A2E" w:rsidP="00DF7A2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szCs w:val="18"/>
              </w:rPr>
              <w:t xml:space="preserve">E_K16 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C1F4717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Ocena wygłoszonej prezentacji przedstawiającej plan badania interwencyjnego </w:t>
            </w:r>
          </w:p>
          <w:p w14:paraId="3CDE9B13" w14:textId="74F0061E" w:rsidR="002955D8" w:rsidRPr="00DF7A2E" w:rsidRDefault="002955D8" w:rsidP="00D773D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93B030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Prezentacja: </w:t>
            </w:r>
          </w:p>
          <w:p w14:paraId="5BBF0190" w14:textId="63071603" w:rsidR="00DF7A2E" w:rsidRPr="00DF7A2E" w:rsidRDefault="00DF7A2E" w:rsidP="00DF7A2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Wstęp/uzasadnienie merytoryczne (5 pkt.),</w:t>
            </w:r>
          </w:p>
          <w:p w14:paraId="528ACB0C" w14:textId="77777777" w:rsidR="00DF7A2E" w:rsidRPr="00DF7A2E" w:rsidRDefault="00DF7A2E" w:rsidP="00DF7A2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metodologia badania (10 pkt.), </w:t>
            </w:r>
          </w:p>
          <w:p w14:paraId="04C78BC2" w14:textId="77777777" w:rsidR="00DF7A2E" w:rsidRPr="00DF7A2E" w:rsidRDefault="00DF7A2E" w:rsidP="00DF7A2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>cele i hipotezy badawcze (5 pkt.),</w:t>
            </w:r>
          </w:p>
          <w:p w14:paraId="76AA367F" w14:textId="77777777" w:rsidR="00DF7A2E" w:rsidRPr="00DF7A2E" w:rsidRDefault="00DF7A2E" w:rsidP="00DF7A2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umiejętność korzystania z literatury naukowej (5 pkt.), </w:t>
            </w:r>
          </w:p>
          <w:p w14:paraId="50DAF31C" w14:textId="76495762" w:rsidR="00DF7A2E" w:rsidRPr="00DF7A2E" w:rsidRDefault="00DF7A2E" w:rsidP="00DF7A2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ocena efektywności interwencji, w tym zdefiniowanie punktów końcowych (5 pkt.) </w:t>
            </w:r>
          </w:p>
          <w:p w14:paraId="7AAD528F" w14:textId="77777777" w:rsidR="00DF7A2E" w:rsidRPr="00DF7A2E" w:rsidRDefault="00DF7A2E" w:rsidP="00DF7A2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F7A2E">
              <w:rPr>
                <w:rFonts w:asciiTheme="minorHAnsi" w:hAnsiTheme="minorHAnsi" w:cstheme="minorHAnsi"/>
                <w:sz w:val="18"/>
                <w:szCs w:val="18"/>
              </w:rPr>
              <w:t xml:space="preserve">&lt;20 pkt - nzal </w:t>
            </w:r>
          </w:p>
          <w:p w14:paraId="42F007A9" w14:textId="06CA75E4" w:rsidR="00A957E3" w:rsidRPr="00DF7A2E" w:rsidRDefault="00DF7A2E" w:rsidP="00DF7A2E">
            <w:pPr>
              <w:spacing w:line="259" w:lineRule="auto"/>
              <w:rPr>
                <w:rFonts w:asciiTheme="minorHAnsi" w:hAnsiTheme="minorHAnsi" w:cstheme="minorHAnsi"/>
                <w:color w:val="auto"/>
              </w:rPr>
            </w:pPr>
            <w:r w:rsidRPr="00DF7A2E">
              <w:rPr>
                <w:rFonts w:asciiTheme="minorHAnsi" w:hAnsiTheme="minorHAnsi" w:cstheme="minorHAnsi"/>
                <w:szCs w:val="18"/>
              </w:rPr>
              <w:t xml:space="preserve">&gt;20 pkt - zal </w:t>
            </w:r>
          </w:p>
        </w:tc>
      </w:tr>
    </w:tbl>
    <w:p w14:paraId="436EE3ED" w14:textId="77777777" w:rsidR="00C01834" w:rsidRPr="00E55362" w:rsidRDefault="00C01834" w:rsidP="00055966">
      <w:pPr>
        <w:spacing w:after="0" w:line="264" w:lineRule="auto"/>
        <w:ind w:left="0" w:firstLine="0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511ACE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6F419667" w:rsidR="00014630" w:rsidRPr="00E55362" w:rsidRDefault="00E55362" w:rsidP="00511ACE">
            <w:pPr>
              <w:pStyle w:val="Akapitzlist"/>
              <w:numPr>
                <w:ilvl w:val="0"/>
                <w:numId w:val="1"/>
              </w:numPr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18C3655" w14:textId="6D064B4D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1. </w:t>
            </w:r>
            <w:r w:rsidRPr="00A957E3">
              <w:rPr>
                <w:bCs/>
                <w:color w:val="auto"/>
              </w:rPr>
              <w:t>Osoba odpowiedzialna za prowadzenie dydaktyki w roku akademickim 202</w:t>
            </w:r>
            <w:r w:rsidR="00F54765">
              <w:rPr>
                <w:bCs/>
                <w:color w:val="auto"/>
              </w:rPr>
              <w:t>5</w:t>
            </w:r>
            <w:r w:rsidRPr="00A957E3">
              <w:rPr>
                <w:bCs/>
                <w:color w:val="auto"/>
              </w:rPr>
              <w:t>/202</w:t>
            </w:r>
            <w:r w:rsidR="00F54765">
              <w:rPr>
                <w:bCs/>
                <w:color w:val="auto"/>
              </w:rPr>
              <w:t>6</w:t>
            </w:r>
            <w:r w:rsidRPr="00A957E3">
              <w:rPr>
                <w:bCs/>
                <w:color w:val="auto"/>
              </w:rPr>
              <w:t xml:space="preserve">: dr Ilona Cieślak; </w:t>
            </w:r>
            <w:hyperlink r:id="rId14" w:history="1">
              <w:r w:rsidRPr="00414BB8">
                <w:rPr>
                  <w:rStyle w:val="Hipercze"/>
                  <w:bCs/>
                </w:rPr>
                <w:t>ilona.cieslak@wum.edu.pl</w:t>
              </w:r>
            </w:hyperlink>
            <w:r>
              <w:rPr>
                <w:bCs/>
                <w:color w:val="auto"/>
              </w:rPr>
              <w:t xml:space="preserve"> </w:t>
            </w:r>
          </w:p>
          <w:p w14:paraId="1B0D256F" w14:textId="77777777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2. Zajęcia odbywają się według planu podanego przez Dziekanat</w:t>
            </w:r>
          </w:p>
          <w:p w14:paraId="6261E2E5" w14:textId="206E4818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3. Obecność na zajęciach jest obowiązkowa</w:t>
            </w:r>
            <w:r w:rsidR="00176FF4">
              <w:rPr>
                <w:bCs/>
                <w:color w:val="auto"/>
              </w:rPr>
              <w:t xml:space="preserve"> – dopuszczalna jest jedna nieobecność podczas zajęć</w:t>
            </w:r>
            <w:r w:rsidRPr="00A957E3">
              <w:rPr>
                <w:bCs/>
                <w:color w:val="auto"/>
              </w:rPr>
              <w:t xml:space="preserve">. W razie </w:t>
            </w:r>
            <w:r w:rsidR="00176FF4">
              <w:rPr>
                <w:bCs/>
                <w:color w:val="auto"/>
              </w:rPr>
              <w:t xml:space="preserve">więcej niż jednej </w:t>
            </w:r>
            <w:r w:rsidRPr="00A957E3">
              <w:rPr>
                <w:bCs/>
                <w:color w:val="auto"/>
              </w:rPr>
              <w:t xml:space="preserve">nieobecności należy ustalić formę odrobienia </w:t>
            </w:r>
            <w:r w:rsidR="00176FF4">
              <w:rPr>
                <w:bCs/>
                <w:color w:val="auto"/>
              </w:rPr>
              <w:t xml:space="preserve">seminariów </w:t>
            </w:r>
            <w:r w:rsidRPr="00A957E3">
              <w:rPr>
                <w:bCs/>
                <w:color w:val="auto"/>
              </w:rPr>
              <w:t>z osobą prowadzącą zajęcia.</w:t>
            </w:r>
          </w:p>
          <w:p w14:paraId="604A67A5" w14:textId="77777777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4. Student zobowiązany jest do punktualnego stawania się na zajęcia.</w:t>
            </w:r>
          </w:p>
          <w:p w14:paraId="677E6E8D" w14:textId="217719D5" w:rsidR="00014630" w:rsidRPr="00C01834" w:rsidRDefault="00A957E3" w:rsidP="00A957E3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 w:rsidRPr="00A957E3">
              <w:rPr>
                <w:bCs/>
                <w:color w:val="auto"/>
              </w:rPr>
              <w:t>5. Student ma prawo do trzykrotnego podejścia do zaliczenia przedmiotu</w:t>
            </w:r>
          </w:p>
        </w:tc>
      </w:tr>
    </w:tbl>
    <w:p w14:paraId="71846F02" w14:textId="77777777" w:rsidR="00511ACE" w:rsidRPr="00F04776" w:rsidRDefault="00511ACE" w:rsidP="007F19BC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F04776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 w:rsidRPr="00F04776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A38974" wp14:editId="1CDCE602">
                <wp:simplePos x="0" y="0"/>
                <wp:positionH relativeFrom="column">
                  <wp:posOffset>3175</wp:posOffset>
                </wp:positionH>
                <wp:positionV relativeFrom="paragraph">
                  <wp:posOffset>8452485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791B" w14:textId="77777777" w:rsidR="00511ACE" w:rsidRPr="008E78CF" w:rsidRDefault="00511ACE" w:rsidP="00511A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7C700BDF" w14:textId="77777777" w:rsidR="00511ACE" w:rsidRDefault="00511ACE" w:rsidP="00511ACE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38974" id="_x0000_s1027" type="#_x0000_t202" style="position:absolute;margin-left:.25pt;margin-top:665.5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Aq7Zif3QAAAAsBAAAPAAAAZHJzL2Rvd25yZXYueG1sTI9BT8MwDIXvSPyHyEhcJpZ2VSZU&#10;mk4waSdOK+OeNaataJySZFv37/FOcLPfe3r+XG1mN4ozhjh40pAvMxBIrbcDdRoOH7unZxAxGbJm&#10;9IQarhhhU9/fVaa0/kJ7PDepE1xCsTQa+pSmUsrY9uhMXPoJib0vH5xJvIZO2mAuXO5GucqytXRm&#10;IL7Qmwm3PbbfzclpWP80xeL90y5of929hdYpuz0orR8f5tcXEAnn9BeGGz6jQ81MR38iG8WoQXGO&#10;1aLIcxA3PysUa0eelFoVIOtK/v+h/gUAAP//AwBQSwECLQAUAAYACAAAACEAtoM4kv4AAADhAQAA&#10;EwAAAAAAAAAAAAAAAAAAAAAAW0NvbnRlbnRfVHlwZXNdLnhtbFBLAQItABQABgAIAAAAIQA4/SH/&#10;1gAAAJQBAAALAAAAAAAAAAAAAAAAAC8BAABfcmVscy8ucmVsc1BLAQItABQABgAIAAAAIQBNxpMW&#10;EQIAACcEAAAOAAAAAAAAAAAAAAAAAC4CAABkcnMvZTJvRG9jLnhtbFBLAQItABQABgAIAAAAIQAq&#10;7Zif3QAAAAsBAAAPAAAAAAAAAAAAAAAAAGsEAABkcnMvZG93bnJldi54bWxQSwUGAAAAAAQABADz&#10;AAAAdQUAAAAA&#10;">
                <v:textbox style="mso-fit-shape-to-text:t">
                  <w:txbxContent>
                    <w:p w14:paraId="7E61791B" w14:textId="77777777" w:rsidR="00511ACE" w:rsidRPr="008E78CF" w:rsidRDefault="00511ACE" w:rsidP="00511A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7C700BDF" w14:textId="77777777" w:rsidR="00511ACE" w:rsidRDefault="00511ACE" w:rsidP="00511ACE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D0B25" w14:textId="77777777" w:rsidR="00511ACE" w:rsidRPr="00F04776" w:rsidRDefault="00511ACE" w:rsidP="00511ACE">
      <w:pPr>
        <w:spacing w:after="160" w:line="259" w:lineRule="auto"/>
        <w:ind w:left="0" w:firstLine="0"/>
        <w:jc w:val="center"/>
        <w:rPr>
          <w:color w:val="auto"/>
          <w:sz w:val="16"/>
          <w:szCs w:val="16"/>
        </w:rPr>
      </w:pPr>
    </w:p>
    <w:sectPr w:rsidR="00511ACE" w:rsidRPr="00F04776" w:rsidSect="00A973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DFC5" w14:textId="77777777" w:rsidR="00A96107" w:rsidRDefault="00A96107">
      <w:pPr>
        <w:spacing w:after="0" w:line="240" w:lineRule="auto"/>
      </w:pPr>
      <w:r>
        <w:separator/>
      </w:r>
    </w:p>
  </w:endnote>
  <w:endnote w:type="continuationSeparator" w:id="0">
    <w:p w14:paraId="1F4929CE" w14:textId="77777777" w:rsidR="00A96107" w:rsidRDefault="00A9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794921CE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42454" w:rsidRPr="00242454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242454" w:rsidRPr="00242454">
        <w:rPr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8144" w14:textId="77777777" w:rsidR="00A96107" w:rsidRDefault="00A96107">
      <w:pPr>
        <w:spacing w:after="0" w:line="240" w:lineRule="auto"/>
      </w:pPr>
      <w:r>
        <w:separator/>
      </w:r>
    </w:p>
  </w:footnote>
  <w:footnote w:type="continuationSeparator" w:id="0">
    <w:p w14:paraId="78520A54" w14:textId="77777777" w:rsidR="00A96107" w:rsidRDefault="00A9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0AE" w14:textId="77777777" w:rsidR="00FA43DA" w:rsidRDefault="00FA4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533" w14:textId="7CFE4144" w:rsidR="00C777D8" w:rsidRPr="00C777D8" w:rsidRDefault="00C777D8" w:rsidP="00C777D8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2" w:name="_Hlk151379110"/>
    <w:bookmarkStart w:id="3" w:name="_Hlk151379111"/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>Załącznik nr 4</w:t>
    </w:r>
    <w:r>
      <w:rPr>
        <w:rFonts w:ascii="Arial" w:eastAsia="Times New Roman" w:hAnsi="Arial" w:cs="Arial"/>
        <w:b/>
        <w:bCs/>
        <w:i/>
        <w:color w:val="auto"/>
        <w:sz w:val="16"/>
        <w:szCs w:val="24"/>
      </w:rPr>
      <w:t>B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do Procedury </w:t>
    </w:r>
    <w:bookmarkEnd w:id="2"/>
    <w:bookmarkEnd w:id="3"/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14:paraId="5800A241" w14:textId="2D659658" w:rsidR="00C777D8" w:rsidRPr="00C777D8" w:rsidRDefault="00C777D8" w:rsidP="00C777D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(stanowiącej załącznik do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z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arządzenia nr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68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/2024 Rektora WUM z dnia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18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kwietnia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>2024 r.)</w:t>
    </w:r>
  </w:p>
  <w:p w14:paraId="4D110B50" w14:textId="77777777" w:rsidR="00C777D8" w:rsidRDefault="00C777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1D9" w14:textId="77777777" w:rsidR="00FA43DA" w:rsidRDefault="00FA4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963"/>
    <w:multiLevelType w:val="hybridMultilevel"/>
    <w:tmpl w:val="0454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64E"/>
    <w:multiLevelType w:val="hybridMultilevel"/>
    <w:tmpl w:val="1C18108A"/>
    <w:lvl w:ilvl="0" w:tplc="F050C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43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E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C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EA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48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02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08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2E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910526"/>
    <w:multiLevelType w:val="hybridMultilevel"/>
    <w:tmpl w:val="59684494"/>
    <w:lvl w:ilvl="0" w:tplc="4BC66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5CF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56E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FAC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DA3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AE8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6A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69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A67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6C48"/>
    <w:multiLevelType w:val="hybridMultilevel"/>
    <w:tmpl w:val="B4468334"/>
    <w:lvl w:ilvl="0" w:tplc="8648F38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8F4C46"/>
    <w:multiLevelType w:val="hybridMultilevel"/>
    <w:tmpl w:val="73BC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854BC"/>
    <w:multiLevelType w:val="hybridMultilevel"/>
    <w:tmpl w:val="60701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30F22"/>
    <w:multiLevelType w:val="hybridMultilevel"/>
    <w:tmpl w:val="037E7AD0"/>
    <w:lvl w:ilvl="0" w:tplc="457CF978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C1AB4"/>
    <w:multiLevelType w:val="hybridMultilevel"/>
    <w:tmpl w:val="319452FE"/>
    <w:lvl w:ilvl="0" w:tplc="479E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A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F04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A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A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FE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85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0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EC4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87C13"/>
    <w:multiLevelType w:val="hybridMultilevel"/>
    <w:tmpl w:val="732C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22229">
    <w:abstractNumId w:val="11"/>
  </w:num>
  <w:num w:numId="2" w16cid:durableId="2100372229">
    <w:abstractNumId w:val="9"/>
  </w:num>
  <w:num w:numId="3" w16cid:durableId="1896159994">
    <w:abstractNumId w:val="3"/>
  </w:num>
  <w:num w:numId="4" w16cid:durableId="77410665">
    <w:abstractNumId w:val="10"/>
  </w:num>
  <w:num w:numId="5" w16cid:durableId="493766673">
    <w:abstractNumId w:val="0"/>
  </w:num>
  <w:num w:numId="6" w16cid:durableId="632717048">
    <w:abstractNumId w:val="4"/>
  </w:num>
  <w:num w:numId="7" w16cid:durableId="750352038">
    <w:abstractNumId w:val="1"/>
  </w:num>
  <w:num w:numId="8" w16cid:durableId="1946645943">
    <w:abstractNumId w:val="2"/>
  </w:num>
  <w:num w:numId="9" w16cid:durableId="76904736">
    <w:abstractNumId w:val="8"/>
  </w:num>
  <w:num w:numId="10" w16cid:durableId="646974875">
    <w:abstractNumId w:val="7"/>
  </w:num>
  <w:num w:numId="11" w16cid:durableId="486557578">
    <w:abstractNumId w:val="5"/>
  </w:num>
  <w:num w:numId="12" w16cid:durableId="521406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87C88D-13BC-4B76-9F89-48D2E0EE42FC}"/>
  </w:docVars>
  <w:rsids>
    <w:rsidRoot w:val="006C524C"/>
    <w:rsid w:val="0000082D"/>
    <w:rsid w:val="00014630"/>
    <w:rsid w:val="000400E9"/>
    <w:rsid w:val="00042B01"/>
    <w:rsid w:val="00055966"/>
    <w:rsid w:val="00056A6F"/>
    <w:rsid w:val="00061999"/>
    <w:rsid w:val="00070121"/>
    <w:rsid w:val="000859FB"/>
    <w:rsid w:val="00085B68"/>
    <w:rsid w:val="000A61A5"/>
    <w:rsid w:val="000B48F9"/>
    <w:rsid w:val="000C639F"/>
    <w:rsid w:val="000E7357"/>
    <w:rsid w:val="0010458B"/>
    <w:rsid w:val="00133592"/>
    <w:rsid w:val="00141A71"/>
    <w:rsid w:val="0015778D"/>
    <w:rsid w:val="00160769"/>
    <w:rsid w:val="00164C23"/>
    <w:rsid w:val="00176FF4"/>
    <w:rsid w:val="00181CEC"/>
    <w:rsid w:val="001E499F"/>
    <w:rsid w:val="001E63CB"/>
    <w:rsid w:val="001F028B"/>
    <w:rsid w:val="001F1679"/>
    <w:rsid w:val="002066C4"/>
    <w:rsid w:val="00242454"/>
    <w:rsid w:val="00291933"/>
    <w:rsid w:val="002955D8"/>
    <w:rsid w:val="002F3B26"/>
    <w:rsid w:val="003E57A1"/>
    <w:rsid w:val="003F6C10"/>
    <w:rsid w:val="00417C37"/>
    <w:rsid w:val="00422398"/>
    <w:rsid w:val="00427F40"/>
    <w:rsid w:val="004448F5"/>
    <w:rsid w:val="00460CA2"/>
    <w:rsid w:val="00470E8F"/>
    <w:rsid w:val="00476558"/>
    <w:rsid w:val="00477321"/>
    <w:rsid w:val="00493B9D"/>
    <w:rsid w:val="004B3229"/>
    <w:rsid w:val="00511ACE"/>
    <w:rsid w:val="00520944"/>
    <w:rsid w:val="005944D4"/>
    <w:rsid w:val="005C227E"/>
    <w:rsid w:val="00606EA5"/>
    <w:rsid w:val="00621525"/>
    <w:rsid w:val="0064087A"/>
    <w:rsid w:val="00671CA0"/>
    <w:rsid w:val="006A442B"/>
    <w:rsid w:val="006B012B"/>
    <w:rsid w:val="006B726B"/>
    <w:rsid w:val="006C524C"/>
    <w:rsid w:val="006D018B"/>
    <w:rsid w:val="00724BB4"/>
    <w:rsid w:val="00731929"/>
    <w:rsid w:val="00732CF5"/>
    <w:rsid w:val="00792FD5"/>
    <w:rsid w:val="007C40F7"/>
    <w:rsid w:val="007F19BC"/>
    <w:rsid w:val="008A2F0E"/>
    <w:rsid w:val="008E592D"/>
    <w:rsid w:val="008E78CF"/>
    <w:rsid w:val="00900EC6"/>
    <w:rsid w:val="00901188"/>
    <w:rsid w:val="009B62DF"/>
    <w:rsid w:val="009E635F"/>
    <w:rsid w:val="00A3096F"/>
    <w:rsid w:val="00A63CE6"/>
    <w:rsid w:val="00A957E3"/>
    <w:rsid w:val="00A96107"/>
    <w:rsid w:val="00A973C1"/>
    <w:rsid w:val="00AD2F54"/>
    <w:rsid w:val="00AF14A5"/>
    <w:rsid w:val="00B5341A"/>
    <w:rsid w:val="00B5568B"/>
    <w:rsid w:val="00B62BD2"/>
    <w:rsid w:val="00B8221A"/>
    <w:rsid w:val="00B91F3B"/>
    <w:rsid w:val="00B93718"/>
    <w:rsid w:val="00BB23E6"/>
    <w:rsid w:val="00BF74E9"/>
    <w:rsid w:val="00BF7BFD"/>
    <w:rsid w:val="00C01834"/>
    <w:rsid w:val="00C24D59"/>
    <w:rsid w:val="00C5519A"/>
    <w:rsid w:val="00C777D8"/>
    <w:rsid w:val="00C77F83"/>
    <w:rsid w:val="00C92ECE"/>
    <w:rsid w:val="00CA3ACF"/>
    <w:rsid w:val="00CD0AFC"/>
    <w:rsid w:val="00CE067B"/>
    <w:rsid w:val="00D214B8"/>
    <w:rsid w:val="00D320E0"/>
    <w:rsid w:val="00D56CEB"/>
    <w:rsid w:val="00D928FC"/>
    <w:rsid w:val="00D93A54"/>
    <w:rsid w:val="00DC6EFE"/>
    <w:rsid w:val="00DF679B"/>
    <w:rsid w:val="00DF7A2E"/>
    <w:rsid w:val="00E53357"/>
    <w:rsid w:val="00E55362"/>
    <w:rsid w:val="00E6064C"/>
    <w:rsid w:val="00E8125D"/>
    <w:rsid w:val="00E817B4"/>
    <w:rsid w:val="00EB14CD"/>
    <w:rsid w:val="00EB4E6F"/>
    <w:rsid w:val="00EE6DD6"/>
    <w:rsid w:val="00F016D9"/>
    <w:rsid w:val="00F04776"/>
    <w:rsid w:val="00F06732"/>
    <w:rsid w:val="00F54765"/>
    <w:rsid w:val="00FA43DA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93B9D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B32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usz.jaworski@wum.edu.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lona.cieslak@wum.edu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ona.cieslak@wum.edu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ariusz.jaworski@wum.edu.pl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ilona.cieslak@wum.edu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86FB21-0FB4-4BCE-8832-DF6D81408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7C88D-13BC-4B76-9F89-48D2E0EE42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4B do załącznika do zarządzenia nr 68/2024 Rektora WUM z dnia 18.04.2024r.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4B do załącznika do zarządzenia nr 68/2024 Rektora WUM z dnia 18.04.2024r.</dc:title>
  <dc:subject/>
  <dc:creator>Maksymilian Radzimirski</dc:creator>
  <cp:keywords/>
  <cp:lastModifiedBy>Ilona Cieślak</cp:lastModifiedBy>
  <cp:revision>4</cp:revision>
  <cp:lastPrinted>2024-04-19T09:59:00Z</cp:lastPrinted>
  <dcterms:created xsi:type="dcterms:W3CDTF">2025-09-12T01:27:00Z</dcterms:created>
  <dcterms:modified xsi:type="dcterms:W3CDTF">2025-09-13T19:57:00Z</dcterms:modified>
</cp:coreProperties>
</file>