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585A" w14:textId="1E80D433" w:rsidR="00C01834" w:rsidRPr="00AD2F54" w:rsidRDefault="00C92ECE" w:rsidP="00C92ECE">
      <w:pPr>
        <w:spacing w:after="34" w:line="253" w:lineRule="auto"/>
        <w:ind w:left="0" w:right="1015" w:firstLine="0"/>
        <w:rPr>
          <w:rFonts w:ascii="Calibri Light" w:hAnsi="Calibri Light" w:cs="Calibri Light"/>
          <w:color w:val="auto"/>
          <w:sz w:val="32"/>
          <w:szCs w:val="32"/>
        </w:rPr>
      </w:pPr>
      <w:r w:rsidRPr="00C92ECE">
        <w:rPr>
          <w:rFonts w:ascii="Calibri Light" w:hAnsi="Calibri Light" w:cs="Calibri Light"/>
          <w:noProof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190EDF" wp14:editId="48C18AE6">
                <wp:simplePos x="0" y="0"/>
                <wp:positionH relativeFrom="column">
                  <wp:posOffset>1895475</wp:posOffset>
                </wp:positionH>
                <wp:positionV relativeFrom="paragraph">
                  <wp:posOffset>0</wp:posOffset>
                </wp:positionV>
                <wp:extent cx="4584065" cy="884555"/>
                <wp:effectExtent l="0" t="0" r="13335" b="171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06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17E52" w14:textId="7AA6D433" w:rsidR="00C92ECE" w:rsidRPr="00900EC6" w:rsidRDefault="00C92ECE" w:rsidP="00606EA5">
                            <w:pPr>
                              <w:ind w:left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00EC6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4703C">
                              <w:rPr>
                                <w:rFonts w:ascii="Calibri Light" w:hAnsi="Calibri Light" w:cs="Calibri Light"/>
                                <w:b/>
                                <w:bCs/>
                                <w:i/>
                                <w:iCs/>
                                <w:color w:val="auto"/>
                                <w:sz w:val="32"/>
                                <w:szCs w:val="32"/>
                              </w:rPr>
                              <w:t>Narzędzia sztucznej inteligencji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90E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9.25pt;margin-top:0;width:360.95pt;height:6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">
                <v:textbox>
                  <w:txbxContent>
                    <w:p w14:paraId="2E017E52" w14:textId="7AA6D433" w:rsidR="00C92ECE" w:rsidRPr="00900EC6" w:rsidRDefault="00C92ECE" w:rsidP="00606EA5">
                      <w:pPr>
                        <w:ind w:left="0"/>
                        <w:jc w:val="both"/>
                        <w:rPr>
                          <w:b/>
                          <w:bCs/>
                        </w:rPr>
                      </w:pPr>
                      <w:r w:rsidRPr="00900EC6">
                        <w:rPr>
                          <w:rFonts w:ascii="Calibri Light" w:hAnsi="Calibri Light" w:cs="Calibri Light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  <w:r w:rsidR="00E4703C">
                        <w:rPr>
                          <w:rFonts w:ascii="Calibri Light" w:hAnsi="Calibri Light" w:cs="Calibri Light"/>
                          <w:b/>
                          <w:bCs/>
                          <w:i/>
                          <w:iCs/>
                          <w:color w:val="auto"/>
                          <w:sz w:val="32"/>
                          <w:szCs w:val="32"/>
                        </w:rPr>
                        <w:t>Narzędzia sztucznej inteligencji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 Light" w:hAnsi="Calibri Light" w:cs="Calibri Light"/>
          <w:noProof/>
          <w:color w:val="auto"/>
          <w:sz w:val="32"/>
          <w:szCs w:val="32"/>
        </w:rPr>
        <w:drawing>
          <wp:inline distT="0" distB="0" distL="0" distR="0" wp14:anchorId="3C9BB37F" wp14:editId="47452C43">
            <wp:extent cx="1011600" cy="1011600"/>
            <wp:effectExtent l="0" t="0" r="4445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0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73CFF" w14:textId="33C6F2AE" w:rsidR="00C01834" w:rsidRPr="00C01834" w:rsidRDefault="00C01834" w:rsidP="00C01834">
      <w:pPr>
        <w:spacing w:after="103" w:line="259" w:lineRule="auto"/>
        <w:ind w:left="75" w:right="1416" w:firstLine="0"/>
        <w:jc w:val="righ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205" w:type="dxa"/>
        </w:tblCellMar>
        <w:tblLook w:val="04A0" w:firstRow="1" w:lastRow="0" w:firstColumn="1" w:lastColumn="0" w:noHBand="0" w:noVBand="1"/>
      </w:tblPr>
      <w:tblGrid>
        <w:gridCol w:w="2961"/>
        <w:gridCol w:w="7229"/>
      </w:tblGrid>
      <w:tr w:rsidR="009E635F" w:rsidRPr="00C01834" w14:paraId="0470020F" w14:textId="77777777" w:rsidTr="001F1679">
        <w:trPr>
          <w:trHeight w:val="51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A5D9D80" w14:textId="7519BD04" w:rsidR="009E635F" w:rsidRPr="00C92ECE" w:rsidRDefault="009E635F" w:rsidP="00E53357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  <w:szCs w:val="24"/>
              </w:rPr>
            </w:pPr>
            <w:r w:rsidRPr="00511ACE">
              <w:rPr>
                <w:b/>
                <w:smallCaps/>
                <w:color w:val="auto"/>
                <w:sz w:val="24"/>
              </w:rPr>
              <w:t>Metryczka</w:t>
            </w:r>
          </w:p>
        </w:tc>
      </w:tr>
      <w:tr w:rsidR="00470E8F" w:rsidRPr="00C01834" w14:paraId="29DFFF33" w14:textId="77777777" w:rsidTr="000859FB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2BB0B35" w14:textId="60F719F6" w:rsidR="00470E8F" w:rsidRPr="00C01834" w:rsidRDefault="00470E8F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Rok akademicki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CA9D1BC" w14:textId="674CB84D" w:rsidR="00470E8F" w:rsidRPr="00C01834" w:rsidRDefault="004B3229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2025/2026</w:t>
            </w:r>
          </w:p>
        </w:tc>
      </w:tr>
      <w:tr w:rsidR="00C01834" w:rsidRPr="00C01834" w14:paraId="20267CE8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8C0DB3" w14:textId="77777777" w:rsidR="00C01834" w:rsidRPr="00C01834" w:rsidRDefault="00C01834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Wydział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AF69107" w14:textId="1A09658C" w:rsidR="00C01834" w:rsidRPr="00C01834" w:rsidRDefault="00E4703C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Lekarsko-Stomatologiczny</w:t>
            </w:r>
          </w:p>
        </w:tc>
      </w:tr>
      <w:tr w:rsidR="00C01834" w:rsidRPr="00C01834" w14:paraId="4E6AAFC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928F11" w14:textId="429E2B97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>Kierunek studiów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487879F" w14:textId="0B98381E" w:rsidR="00C01834" w:rsidRPr="00C01834" w:rsidRDefault="00E4703C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Elektroradiologia</w:t>
            </w:r>
          </w:p>
        </w:tc>
      </w:tr>
      <w:tr w:rsidR="00C01834" w:rsidRPr="00C01834" w14:paraId="183C2EC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DE58CE0" w14:textId="404839BA" w:rsidR="00C01834" w:rsidRPr="00C01834" w:rsidRDefault="00470E8F" w:rsidP="00E53357">
            <w:pPr>
              <w:spacing w:after="0" w:line="259" w:lineRule="auto"/>
              <w:ind w:left="0" w:right="-351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Dyscyplina wiodąca</w:t>
            </w:r>
            <w:r w:rsidR="00A63CE6"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A5A60B1" w14:textId="431B1166" w:rsidR="00C01834" w:rsidRPr="00511ACE" w:rsidRDefault="004B3229" w:rsidP="00E53357">
            <w:pPr>
              <w:spacing w:after="0" w:line="259" w:lineRule="auto"/>
              <w:ind w:left="0" w:right="-351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Nauki </w:t>
            </w:r>
            <w:r w:rsidR="00E4703C">
              <w:rPr>
                <w:b/>
                <w:color w:val="000000" w:themeColor="text1"/>
              </w:rPr>
              <w:t>Medyczne</w:t>
            </w:r>
          </w:p>
        </w:tc>
      </w:tr>
      <w:tr w:rsidR="00C01834" w:rsidRPr="00C01834" w14:paraId="71F9ED42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7DA94C1" w14:textId="5AB78114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b/>
                <w:color w:val="auto"/>
              </w:rPr>
              <w:t xml:space="preserve">Profil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898681" w14:textId="06BE997E" w:rsidR="00C01834" w:rsidRPr="00511ACE" w:rsidRDefault="004B3229" w:rsidP="00E53357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praktyczny</w:t>
            </w:r>
          </w:p>
        </w:tc>
      </w:tr>
      <w:tr w:rsidR="00C01834" w:rsidRPr="00C01834" w14:paraId="75BB47C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C0FFA7C" w14:textId="550C59CE" w:rsidR="00C01834" w:rsidRPr="00C01834" w:rsidRDefault="00470E8F" w:rsidP="00E53357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Poziom kształcenia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09241D" w14:textId="00774D5A" w:rsidR="00C01834" w:rsidRPr="00511ACE" w:rsidRDefault="00E4703C" w:rsidP="00E53357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</w:t>
            </w:r>
            <w:r w:rsidR="004B3229">
              <w:rPr>
                <w:color w:val="000000" w:themeColor="text1"/>
              </w:rPr>
              <w:t>I stopnia</w:t>
            </w:r>
          </w:p>
        </w:tc>
      </w:tr>
      <w:tr w:rsidR="00C01834" w:rsidRPr="00C01834" w14:paraId="319D6F33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CBE4017" w14:textId="3EAB1924" w:rsidR="00C01834" w:rsidRPr="00C01834" w:rsidRDefault="00470E8F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 xml:space="preserve">Forma studiów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9AD8A40" w14:textId="56D1EA5D" w:rsidR="00C01834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stacjonarne</w:t>
            </w:r>
          </w:p>
        </w:tc>
      </w:tr>
      <w:tr w:rsidR="00A63CE6" w:rsidRPr="00C01834" w14:paraId="0D560214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BFC8F9" w14:textId="6802CF84" w:rsidR="00A63CE6" w:rsidRPr="00C01834" w:rsidRDefault="00A63CE6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Typ modułu/przedmiotu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B8DE34D" w14:textId="2F0D4FB6" w:rsidR="00A63CE6" w:rsidRPr="00511ACE" w:rsidRDefault="00E4703C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obieralny</w:t>
            </w:r>
          </w:p>
        </w:tc>
      </w:tr>
      <w:tr w:rsidR="00A63CE6" w:rsidRPr="00C01834" w14:paraId="5858F82D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BC4B03F" w14:textId="4105F238" w:rsidR="00A63CE6" w:rsidRPr="00C01834" w:rsidRDefault="00A63CE6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Forma weryfikacji efektów uczenia</w:t>
            </w:r>
            <w:r w:rsidR="00511ACE">
              <w:rPr>
                <w:b/>
                <w:color w:val="auto"/>
              </w:rPr>
              <w:t> </w:t>
            </w:r>
            <w:r w:rsidRPr="00C01834">
              <w:rPr>
                <w:b/>
                <w:color w:val="auto"/>
              </w:rPr>
              <w:t xml:space="preserve">się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3AA53AE" w14:textId="1BC4211B" w:rsidR="00A63CE6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zaliczenie</w:t>
            </w:r>
          </w:p>
        </w:tc>
      </w:tr>
      <w:tr w:rsidR="00A63CE6" w:rsidRPr="00C01834" w14:paraId="4BC9D7E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F673C6C" w14:textId="39FBA0BE" w:rsidR="00A63CE6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Jednostka</w:t>
            </w:r>
            <w:r w:rsidR="00511ACE" w:rsidRPr="00C01834">
              <w:rPr>
                <w:b/>
                <w:color w:val="auto"/>
              </w:rPr>
              <w:t xml:space="preserve"> prowadząca </w:t>
            </w:r>
            <w:r w:rsidRPr="00C01834">
              <w:rPr>
                <w:b/>
                <w:color w:val="auto"/>
              </w:rPr>
              <w:t xml:space="preserve">/jednostki </w:t>
            </w:r>
            <w:r w:rsidR="00511ACE" w:rsidRPr="00C01834">
              <w:rPr>
                <w:b/>
                <w:color w:val="auto"/>
              </w:rPr>
              <w:t>prowadząc</w:t>
            </w:r>
            <w:r w:rsidRPr="00C01834">
              <w:rPr>
                <w:b/>
                <w:color w:val="auto"/>
              </w:rPr>
              <w:t>e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9979627" w14:textId="77777777" w:rsidR="00E4703C" w:rsidRDefault="004B3229" w:rsidP="00E53357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 w:rsidRPr="00E4703C">
              <w:rPr>
                <w:bCs/>
                <w:color w:val="auto"/>
              </w:rPr>
              <w:t>Zakład Edukacji i Badań w Naukach o Zdrowiu Wydziału Nauk o Zdrowiu Warszawskiego Uniwersytetu Medycznego (NZD)</w:t>
            </w:r>
          </w:p>
          <w:p w14:paraId="3685F30C" w14:textId="3C828FB8" w:rsidR="00E4703C" w:rsidRPr="00E4703C" w:rsidRDefault="00E4703C" w:rsidP="00E53357">
            <w:pPr>
              <w:spacing w:after="0" w:line="259" w:lineRule="auto"/>
              <w:ind w:left="0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ul. Litewska 14/16, 00-581 Warszawa </w:t>
            </w:r>
          </w:p>
        </w:tc>
      </w:tr>
      <w:tr w:rsidR="006D018B" w:rsidRPr="00C01834" w14:paraId="2DE86E08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ECDFD62" w14:textId="5A7511B1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Kierownik jednostki/kierownicy jednostek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7E5DFB" w14:textId="7D75F597" w:rsidR="006D018B" w:rsidRPr="00511ACE" w:rsidRDefault="004B3229" w:rsidP="00E53357">
            <w:pPr>
              <w:spacing w:after="0" w:line="259" w:lineRule="auto"/>
              <w:ind w:left="0" w:firstLine="0"/>
              <w:rPr>
                <w:b/>
                <w:color w:val="000000" w:themeColor="text1"/>
              </w:rPr>
            </w:pPr>
            <w:r w:rsidRPr="0008175F">
              <w:rPr>
                <w:b/>
                <w:color w:val="auto"/>
              </w:rPr>
              <w:t>Prof. dr hab. n. med. i n. o zdr. Joanna Gotlib</w:t>
            </w:r>
            <w:r w:rsidR="00E4703C">
              <w:rPr>
                <w:b/>
                <w:color w:val="auto"/>
              </w:rPr>
              <w:t>-Małkowska</w:t>
            </w:r>
          </w:p>
        </w:tc>
      </w:tr>
      <w:tr w:rsidR="006D018B" w:rsidRPr="000C7D2D" w14:paraId="52E84EAE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D6C44C7" w14:textId="735C8667" w:rsidR="006D018B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Koordynator przedmiotu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D975D70" w14:textId="20494C48" w:rsidR="006D018B" w:rsidRPr="00E4703C" w:rsidRDefault="00E4703C" w:rsidP="004B3229">
            <w:pPr>
              <w:spacing w:after="0" w:line="259" w:lineRule="auto"/>
              <w:ind w:left="0" w:firstLine="0"/>
              <w:rPr>
                <w:b/>
                <w:color w:val="000000" w:themeColor="text1"/>
                <w:lang w:val="en-US"/>
              </w:rPr>
            </w:pPr>
            <w:r w:rsidRPr="0008175F">
              <w:rPr>
                <w:b/>
                <w:color w:val="auto"/>
              </w:rPr>
              <w:t xml:space="preserve">Prof. dr hab. n. med. i n. o zdr. </w:t>
            </w:r>
            <w:r w:rsidRPr="00E4703C">
              <w:rPr>
                <w:b/>
                <w:color w:val="auto"/>
                <w:lang w:val="en-US"/>
              </w:rPr>
              <w:t>Joanna Gotlib</w:t>
            </w:r>
            <w:r>
              <w:rPr>
                <w:b/>
                <w:color w:val="auto"/>
                <w:lang w:val="en-US"/>
              </w:rPr>
              <w:t>-Małkowska</w:t>
            </w:r>
            <w:r w:rsidR="004B3229">
              <w:rPr>
                <w:b/>
                <w:lang w:val="es-ES"/>
              </w:rPr>
              <w:br/>
            </w:r>
            <w:hyperlink r:id="rId10" w:history="1">
              <w:r w:rsidRPr="001369C2">
                <w:rPr>
                  <w:rStyle w:val="Hipercze"/>
                  <w:bCs/>
                  <w:lang w:val="es-ES"/>
                </w:rPr>
                <w:t>j</w:t>
              </w:r>
              <w:r w:rsidRPr="001369C2">
                <w:rPr>
                  <w:rStyle w:val="Hipercze"/>
                  <w:lang w:val="es-ES"/>
                </w:rPr>
                <w:t>oanna.gotlib@wum.edu.pl</w:t>
              </w:r>
            </w:hyperlink>
          </w:p>
        </w:tc>
      </w:tr>
      <w:tr w:rsidR="006D018B" w:rsidRPr="000C7D2D" w14:paraId="1C47B7EB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EF45A6F" w14:textId="7F6FDF4B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Osoba odpowiedzialna za sylabus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F3E18BC" w14:textId="49FFCD70" w:rsidR="006D018B" w:rsidRPr="00E53087" w:rsidRDefault="00E53087" w:rsidP="00E4703C">
            <w:pPr>
              <w:spacing w:after="0" w:line="259" w:lineRule="auto"/>
              <w:ind w:left="0" w:firstLine="0"/>
              <w:rPr>
                <w:b/>
                <w:color w:val="000000" w:themeColor="text1"/>
                <w:lang w:val="en-US"/>
              </w:rPr>
            </w:pPr>
            <w:r w:rsidRPr="0008175F">
              <w:rPr>
                <w:b/>
                <w:color w:val="auto"/>
              </w:rPr>
              <w:t xml:space="preserve">Prof. dr hab. n. med. i n. o zdr. </w:t>
            </w:r>
            <w:r w:rsidRPr="00E4703C">
              <w:rPr>
                <w:b/>
                <w:color w:val="auto"/>
                <w:lang w:val="en-US"/>
              </w:rPr>
              <w:t>Joanna Gotlib</w:t>
            </w:r>
            <w:r>
              <w:rPr>
                <w:b/>
                <w:color w:val="auto"/>
                <w:lang w:val="en-US"/>
              </w:rPr>
              <w:t>-Małkowska</w:t>
            </w:r>
            <w:r>
              <w:rPr>
                <w:b/>
                <w:lang w:val="es-ES"/>
              </w:rPr>
              <w:br/>
            </w:r>
            <w:hyperlink r:id="rId11" w:history="1">
              <w:r w:rsidRPr="001369C2">
                <w:rPr>
                  <w:rStyle w:val="Hipercze"/>
                  <w:bCs/>
                  <w:lang w:val="es-ES"/>
                </w:rPr>
                <w:t>j</w:t>
              </w:r>
              <w:r w:rsidRPr="001369C2">
                <w:rPr>
                  <w:rStyle w:val="Hipercze"/>
                  <w:lang w:val="es-ES"/>
                </w:rPr>
                <w:t>oanna.gotlib@wum.edu.pl</w:t>
              </w:r>
            </w:hyperlink>
          </w:p>
        </w:tc>
      </w:tr>
      <w:tr w:rsidR="006D018B" w:rsidRPr="00E4703C" w14:paraId="4FD7B3DA" w14:textId="77777777" w:rsidTr="001F1679">
        <w:trPr>
          <w:trHeight w:val="510"/>
        </w:trPr>
        <w:tc>
          <w:tcPr>
            <w:tcW w:w="296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14EF4A6" w14:textId="3E915372" w:rsidR="006D018B" w:rsidRPr="00C01834" w:rsidRDefault="006D018B" w:rsidP="00E53357">
            <w:pPr>
              <w:spacing w:after="0" w:line="259" w:lineRule="auto"/>
              <w:ind w:left="0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Prowadzący zajęcia</w:t>
            </w:r>
          </w:p>
        </w:tc>
        <w:tc>
          <w:tcPr>
            <w:tcW w:w="722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B1A9F8F" w14:textId="1089640A" w:rsidR="00E4703C" w:rsidRPr="00F16925" w:rsidRDefault="00E4703C" w:rsidP="004B3229">
            <w:pPr>
              <w:spacing w:after="0" w:line="259" w:lineRule="auto"/>
              <w:ind w:left="0" w:firstLine="0"/>
              <w:rPr>
                <w:b/>
                <w:color w:val="auto"/>
                <w:lang w:val="en-US"/>
              </w:rPr>
            </w:pPr>
            <w:r w:rsidRPr="0008175F">
              <w:rPr>
                <w:b/>
                <w:color w:val="auto"/>
              </w:rPr>
              <w:t xml:space="preserve">Prof. dr hab. n. med. i n. o zdr. </w:t>
            </w:r>
            <w:r w:rsidRPr="00F16925">
              <w:rPr>
                <w:b/>
                <w:color w:val="auto"/>
                <w:lang w:val="en-US"/>
              </w:rPr>
              <w:t>Joanna Gotlib-Małkowska</w:t>
            </w:r>
          </w:p>
          <w:p w14:paraId="1153F0C9" w14:textId="4BA3BA52" w:rsidR="00E4703C" w:rsidRDefault="00E4703C" w:rsidP="004B3229">
            <w:pPr>
              <w:spacing w:after="0" w:line="259" w:lineRule="auto"/>
              <w:ind w:left="0" w:firstLine="0"/>
              <w:rPr>
                <w:b/>
                <w:color w:val="auto"/>
                <w:lang w:val="es-ES"/>
              </w:rPr>
            </w:pPr>
            <w:hyperlink r:id="rId12" w:history="1">
              <w:r w:rsidRPr="001369C2">
                <w:rPr>
                  <w:rStyle w:val="Hipercze"/>
                  <w:bCs/>
                  <w:lang w:val="es-ES"/>
                </w:rPr>
                <w:t>j</w:t>
              </w:r>
              <w:r w:rsidRPr="001369C2">
                <w:rPr>
                  <w:rStyle w:val="Hipercze"/>
                  <w:lang w:val="es-ES"/>
                </w:rPr>
                <w:t>oanna.gotlib@wum.edu.pl</w:t>
              </w:r>
            </w:hyperlink>
          </w:p>
          <w:p w14:paraId="2D0C66FD" w14:textId="42640434" w:rsidR="004B3229" w:rsidRPr="00E53087" w:rsidRDefault="00E4703C" w:rsidP="004B3229">
            <w:pPr>
              <w:spacing w:after="0" w:line="259" w:lineRule="auto"/>
              <w:ind w:left="0" w:firstLine="0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Prof. dr hab. n. med. i n. o zdr. Mariusz Panczyk</w:t>
            </w:r>
            <w:r>
              <w:rPr>
                <w:b/>
                <w:lang w:val="es-ES"/>
              </w:rPr>
              <w:br/>
            </w:r>
            <w:hyperlink r:id="rId13" w:history="1">
              <w:r w:rsidRPr="001369C2">
                <w:rPr>
                  <w:rStyle w:val="Hipercze"/>
                  <w:bCs/>
                  <w:lang w:val="es-ES"/>
                </w:rPr>
                <w:t>m</w:t>
              </w:r>
              <w:r w:rsidRPr="001369C2">
                <w:rPr>
                  <w:rStyle w:val="Hipercze"/>
                  <w:bCs/>
                </w:rPr>
                <w:t>ariusz.panczyk@wum.edu.pl</w:t>
              </w:r>
            </w:hyperlink>
            <w:r>
              <w:rPr>
                <w:b/>
                <w:lang w:val="es-ES"/>
              </w:rPr>
              <w:t xml:space="preserve"> </w:t>
            </w:r>
          </w:p>
        </w:tc>
      </w:tr>
    </w:tbl>
    <w:p w14:paraId="6766E821" w14:textId="6B791988" w:rsidR="00C01834" w:rsidRPr="004B3229" w:rsidRDefault="00C01834" w:rsidP="00E55362">
      <w:pPr>
        <w:spacing w:after="11" w:line="259" w:lineRule="auto"/>
        <w:ind w:left="0" w:firstLine="0"/>
        <w:rPr>
          <w:color w:val="auto"/>
          <w:sz w:val="24"/>
          <w:szCs w:val="24"/>
          <w:lang w:val="es-ES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3778"/>
        <w:gridCol w:w="1325"/>
        <w:gridCol w:w="1630"/>
        <w:gridCol w:w="1630"/>
      </w:tblGrid>
      <w:tr w:rsidR="00C92ECE" w:rsidRPr="00C01834" w14:paraId="6FF29CB3" w14:textId="77777777" w:rsidTr="00606EA5">
        <w:trPr>
          <w:trHeight w:val="510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2E6EBD9" w14:textId="22EFB2B9" w:rsidR="00C92ECE" w:rsidRPr="00C92ECE" w:rsidRDefault="00C92ECE" w:rsidP="00E53357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</w:rPr>
            </w:pPr>
            <w:r w:rsidRPr="00C92ECE">
              <w:rPr>
                <w:b/>
                <w:smallCaps/>
                <w:color w:val="auto"/>
                <w:sz w:val="24"/>
              </w:rPr>
              <w:t>Informacje podstawowe</w:t>
            </w:r>
          </w:p>
        </w:tc>
      </w:tr>
      <w:tr w:rsidR="00C92ECE" w:rsidRPr="00C01834" w14:paraId="64C7F4EA" w14:textId="77777777" w:rsidTr="00606EA5">
        <w:trPr>
          <w:trHeight w:val="510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0EF097C" w14:textId="77777777" w:rsidR="00C92ECE" w:rsidRPr="00C01834" w:rsidRDefault="00C92ECE" w:rsidP="001F167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lastRenderedPageBreak/>
              <w:t>Rok i semestr studiów</w:t>
            </w:r>
          </w:p>
        </w:tc>
        <w:tc>
          <w:tcPr>
            <w:tcW w:w="5103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4784FA8" w14:textId="3120F3F6" w:rsidR="00C92ECE" w:rsidRPr="00C01834" w:rsidRDefault="004B3229" w:rsidP="001F1679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Rok II, semestr </w:t>
            </w:r>
            <w:r w:rsidR="00E4703C">
              <w:rPr>
                <w:color w:val="auto"/>
              </w:rPr>
              <w:t>III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0DE7BC8" w14:textId="77777777" w:rsidR="00C92ECE" w:rsidRPr="00C01834" w:rsidRDefault="00C92ECE" w:rsidP="001F1679">
            <w:pPr>
              <w:spacing w:after="0" w:line="236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Liczba punktów ECTS</w:t>
            </w:r>
          </w:p>
        </w:tc>
        <w:tc>
          <w:tcPr>
            <w:tcW w:w="16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25DD52E" w14:textId="0E7A811D" w:rsidR="00C92ECE" w:rsidRPr="00C01834" w:rsidRDefault="00E4703C" w:rsidP="001F1679">
            <w:pPr>
              <w:spacing w:after="160" w:line="259" w:lineRule="auto"/>
              <w:ind w:left="0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C92ECE" w:rsidRPr="00C01834">
              <w:rPr>
                <w:color w:val="auto"/>
              </w:rPr>
              <w:t>.00</w:t>
            </w:r>
          </w:p>
        </w:tc>
      </w:tr>
      <w:tr w:rsidR="00724BB4" w:rsidRPr="00C01834" w14:paraId="0C731368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uto"/>
            </w:tcBorders>
            <w:vAlign w:val="center"/>
          </w:tcPr>
          <w:p w14:paraId="7B5A0B9E" w14:textId="325D85D5" w:rsidR="00724BB4" w:rsidRPr="00724BB4" w:rsidRDefault="00724BB4" w:rsidP="001F1679">
            <w:pPr>
              <w:spacing w:after="0" w:line="259" w:lineRule="auto"/>
              <w:ind w:left="0" w:firstLine="0"/>
              <w:rPr>
                <w:b/>
                <w:smallCaps/>
                <w:color w:val="auto"/>
                <w:sz w:val="22"/>
              </w:rPr>
            </w:pPr>
            <w:r w:rsidRPr="00724BB4">
              <w:rPr>
                <w:b/>
                <w:smallCaps/>
                <w:color w:val="auto"/>
                <w:sz w:val="22"/>
              </w:rPr>
              <w:t>Forma prowadzenia zajęć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A1D0" w14:textId="195B5BAD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Liczba godzin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7450" w14:textId="24B45CEC" w:rsidR="00724BB4" w:rsidRPr="00C01834" w:rsidRDefault="00724BB4" w:rsidP="00D773DA">
            <w:pPr>
              <w:spacing w:after="160" w:line="259" w:lineRule="auto"/>
              <w:ind w:left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Kalkulacja punktów ECTS</w:t>
            </w:r>
          </w:p>
        </w:tc>
      </w:tr>
      <w:tr w:rsidR="00724BB4" w:rsidRPr="00C01834" w14:paraId="5F7A1749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uto"/>
            </w:tcBorders>
          </w:tcPr>
          <w:p w14:paraId="660B9F7B" w14:textId="0377DC84" w:rsidR="00724BB4" w:rsidRPr="00C01834" w:rsidRDefault="00724BB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724BB4">
              <w:rPr>
                <w:b/>
                <w:color w:val="auto"/>
              </w:rPr>
              <w:t>Godziny kontaktowe z nauczycielem akademickim</w:t>
            </w: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6CB" w14:textId="25391159" w:rsidR="00724BB4" w:rsidRPr="00C01834" w:rsidRDefault="00724BB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46" w14:textId="64FBA34B" w:rsidR="00724BB4" w:rsidRPr="00C01834" w:rsidRDefault="00724BB4" w:rsidP="00D773DA">
            <w:pPr>
              <w:spacing w:after="160" w:line="259" w:lineRule="auto"/>
              <w:ind w:left="0" w:firstLine="0"/>
              <w:rPr>
                <w:b/>
                <w:color w:val="auto"/>
              </w:rPr>
            </w:pPr>
          </w:p>
        </w:tc>
      </w:tr>
      <w:tr w:rsidR="00C01834" w:rsidRPr="00C01834" w14:paraId="0E101504" w14:textId="77777777" w:rsidTr="00606EA5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6A893E5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wykład (W)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3E90C2" w14:textId="06E304B9" w:rsidR="00C01834" w:rsidRPr="00C01834" w:rsidRDefault="004B3229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E4703C">
              <w:rPr>
                <w:color w:val="auto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4430C6" w14:textId="75E85890" w:rsidR="00C01834" w:rsidRPr="00C01834" w:rsidRDefault="00176FF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0.</w:t>
            </w:r>
            <w:r w:rsidR="00E4703C">
              <w:rPr>
                <w:color w:val="auto"/>
              </w:rPr>
              <w:t>6</w:t>
            </w:r>
          </w:p>
        </w:tc>
      </w:tr>
      <w:tr w:rsidR="00C01834" w:rsidRPr="00C01834" w14:paraId="665D0866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03025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seminarium (S)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7C71F6" w14:textId="5D5B1248" w:rsidR="00C01834" w:rsidRPr="00C01834" w:rsidRDefault="004B3229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E4703C">
              <w:rPr>
                <w:color w:val="auto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12C9500" w14:textId="10F42A6D" w:rsidR="00C01834" w:rsidRPr="00C01834" w:rsidRDefault="00176FF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0.6</w:t>
            </w:r>
          </w:p>
        </w:tc>
      </w:tr>
      <w:tr w:rsidR="00C01834" w:rsidRPr="00C01834" w14:paraId="31DDCE0A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A182FD6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ćwiczenia (C)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CEFE51B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A3517C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15F5C049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53617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e-learning (e-L)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7330FE3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CF534C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84C3F11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FDE60DA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zajęcia praktyczne (ZP)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13644B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9F7F3AD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549053F5" w14:textId="77777777" w:rsidTr="00C92ECE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01C3588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praktyka zawodowa (PZ)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53E91C0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C6A4971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</w:p>
        </w:tc>
      </w:tr>
      <w:tr w:rsidR="00C01834" w:rsidRPr="00C01834" w14:paraId="3A068A09" w14:textId="77777777" w:rsidTr="00D773DA">
        <w:trPr>
          <w:trHeight w:val="381"/>
        </w:trPr>
        <w:tc>
          <w:tcPr>
            <w:tcW w:w="10190" w:type="dxa"/>
            <w:gridSpan w:val="5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FF1CB06" w14:textId="77777777" w:rsidR="00C01834" w:rsidRPr="00C01834" w:rsidRDefault="00C01834" w:rsidP="00D773DA">
            <w:pPr>
              <w:spacing w:after="160" w:line="259" w:lineRule="auto"/>
              <w:ind w:left="0" w:firstLine="0"/>
              <w:rPr>
                <w:b/>
                <w:bCs/>
                <w:color w:val="auto"/>
              </w:rPr>
            </w:pPr>
            <w:r w:rsidRPr="00C01834">
              <w:rPr>
                <w:b/>
                <w:bCs/>
                <w:color w:val="auto"/>
              </w:rPr>
              <w:t>Samodzielna praca studenta</w:t>
            </w:r>
          </w:p>
        </w:tc>
      </w:tr>
      <w:tr w:rsidR="00C01834" w:rsidRPr="00C01834" w14:paraId="4638B006" w14:textId="77777777" w:rsidTr="00BB23E6">
        <w:trPr>
          <w:trHeight w:val="381"/>
        </w:trPr>
        <w:tc>
          <w:tcPr>
            <w:tcW w:w="5605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7EA417B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color w:val="auto"/>
              </w:rPr>
              <w:t>Przygotowanie do zajęć i zaliczeń</w:t>
            </w:r>
          </w:p>
        </w:tc>
        <w:tc>
          <w:tcPr>
            <w:tcW w:w="132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0DEC6BA" w14:textId="0DB008B3" w:rsidR="00C01834" w:rsidRPr="00C01834" w:rsidRDefault="00E4703C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326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D7AAC81" w14:textId="114831DB" w:rsidR="00C01834" w:rsidRPr="00C01834" w:rsidRDefault="00E4703C" w:rsidP="00D773DA">
            <w:pPr>
              <w:spacing w:after="16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0.8</w:t>
            </w:r>
          </w:p>
        </w:tc>
      </w:tr>
    </w:tbl>
    <w:p w14:paraId="442CD670" w14:textId="0B1953D4" w:rsidR="00C01834" w:rsidRPr="00C01834" w:rsidRDefault="00C01834" w:rsidP="00CA3ACF">
      <w:pPr>
        <w:pStyle w:val="Nagwek1"/>
        <w:ind w:left="0" w:firstLine="0"/>
        <w:jc w:val="left"/>
        <w:rPr>
          <w:color w:val="auto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750"/>
        <w:gridCol w:w="9440"/>
      </w:tblGrid>
      <w:tr w:rsidR="00C92ECE" w:rsidRPr="00C01834" w14:paraId="11014E5F" w14:textId="77777777" w:rsidTr="00E53357">
        <w:trPr>
          <w:trHeight w:val="340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1414BB0" w14:textId="5207770C" w:rsidR="00C92ECE" w:rsidRPr="00C92ECE" w:rsidRDefault="00C92ECE" w:rsidP="00511A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smallCaps/>
                <w:color w:val="auto"/>
                <w:sz w:val="24"/>
              </w:rPr>
            </w:pPr>
            <w:r w:rsidRPr="00C92ECE">
              <w:rPr>
                <w:b/>
                <w:smallCaps/>
                <w:color w:val="auto"/>
                <w:sz w:val="24"/>
              </w:rPr>
              <w:t xml:space="preserve">Cele </w:t>
            </w:r>
            <w:r w:rsidR="00BB23E6">
              <w:rPr>
                <w:b/>
                <w:smallCaps/>
                <w:color w:val="auto"/>
                <w:sz w:val="24"/>
              </w:rPr>
              <w:t>kształcenia</w:t>
            </w:r>
          </w:p>
        </w:tc>
      </w:tr>
      <w:tr w:rsidR="00C01834" w:rsidRPr="00C01834" w14:paraId="4BE2BC01" w14:textId="77777777" w:rsidTr="00E53357"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72B6F84" w14:textId="77777777" w:rsidR="00C01834" w:rsidRPr="00C01834" w:rsidRDefault="00C01834" w:rsidP="00E53357">
            <w:pPr>
              <w:spacing w:after="0" w:line="259" w:lineRule="auto"/>
              <w:ind w:left="33" w:firstLine="0"/>
              <w:rPr>
                <w:color w:val="auto"/>
              </w:rPr>
            </w:pPr>
            <w:r w:rsidRPr="00C01834">
              <w:rPr>
                <w:color w:val="auto"/>
              </w:rPr>
              <w:t>C1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861D2DA" w14:textId="741A2546" w:rsidR="00C01834" w:rsidRPr="00C01834" w:rsidRDefault="00F16925" w:rsidP="00E53357">
            <w:pPr>
              <w:spacing w:after="0" w:line="259" w:lineRule="auto"/>
              <w:ind w:left="0" w:right="353" w:firstLine="0"/>
              <w:rPr>
                <w:color w:val="auto"/>
              </w:rPr>
            </w:pPr>
            <w:r w:rsidRPr="00F16925">
              <w:rPr>
                <w:color w:val="auto"/>
              </w:rPr>
              <w:t xml:space="preserve">Celem kształcenia jest przygotowanie studentów do świadomego i krytycznego korzystania z dużych modeli językowych w obszarze nauk </w:t>
            </w:r>
            <w:r>
              <w:rPr>
                <w:color w:val="auto"/>
              </w:rPr>
              <w:t xml:space="preserve">medycznych i nauk </w:t>
            </w:r>
            <w:r w:rsidRPr="00F16925">
              <w:rPr>
                <w:color w:val="auto"/>
              </w:rPr>
              <w:t>o zdrowiu.</w:t>
            </w:r>
          </w:p>
        </w:tc>
      </w:tr>
      <w:tr w:rsidR="00F16925" w:rsidRPr="00C01834" w14:paraId="5A7E0B05" w14:textId="77777777" w:rsidTr="00E53357">
        <w:trPr>
          <w:trHeight w:val="340"/>
        </w:trPr>
        <w:tc>
          <w:tcPr>
            <w:tcW w:w="7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426C0B81" w14:textId="4574A499" w:rsidR="00F16925" w:rsidRPr="00C01834" w:rsidRDefault="00F16925" w:rsidP="00E53357">
            <w:pPr>
              <w:spacing w:after="0" w:line="259" w:lineRule="auto"/>
              <w:ind w:left="33" w:firstLine="0"/>
              <w:rPr>
                <w:color w:val="auto"/>
              </w:rPr>
            </w:pPr>
            <w:r>
              <w:rPr>
                <w:color w:val="auto"/>
              </w:rPr>
              <w:t>C2</w:t>
            </w:r>
          </w:p>
        </w:tc>
        <w:tc>
          <w:tcPr>
            <w:tcW w:w="944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46021F78" w14:textId="58F517D5" w:rsidR="00F16925" w:rsidRPr="00F16925" w:rsidRDefault="00F16925" w:rsidP="00E53357">
            <w:pPr>
              <w:spacing w:after="0" w:line="259" w:lineRule="auto"/>
              <w:ind w:left="0" w:right="353" w:firstLine="0"/>
              <w:rPr>
                <w:color w:val="auto"/>
              </w:rPr>
            </w:pPr>
            <w:r w:rsidRPr="00F16925">
              <w:rPr>
                <w:color w:val="auto"/>
              </w:rPr>
              <w:t>Celem kształcenia jest rozwinięcie umiejętności praktycznego wykorzystania narzędzi LLM do wspierania procesów badawczych,</w:t>
            </w:r>
            <w:r>
              <w:rPr>
                <w:color w:val="auto"/>
              </w:rPr>
              <w:t xml:space="preserve"> dydaktycznych i</w:t>
            </w:r>
            <w:r w:rsidRPr="00F16925">
              <w:rPr>
                <w:color w:val="auto"/>
              </w:rPr>
              <w:t xml:space="preserve"> opracowywania projektów naukowych</w:t>
            </w:r>
            <w:r>
              <w:rPr>
                <w:color w:val="auto"/>
              </w:rPr>
              <w:t>.</w:t>
            </w:r>
          </w:p>
        </w:tc>
      </w:tr>
    </w:tbl>
    <w:p w14:paraId="5560877D" w14:textId="47108A91" w:rsidR="00B8221A" w:rsidRPr="00E53357" w:rsidRDefault="00B8221A" w:rsidP="00CA3ACF">
      <w:pPr>
        <w:spacing w:after="11" w:line="259" w:lineRule="auto"/>
        <w:ind w:left="0" w:firstLine="0"/>
        <w:rPr>
          <w:bCs/>
          <w:color w:val="auto"/>
          <w:sz w:val="16"/>
          <w:szCs w:val="1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1530"/>
        <w:gridCol w:w="8660"/>
      </w:tblGrid>
      <w:tr w:rsidR="00CA3ACF" w:rsidRPr="00C01834" w14:paraId="35627450" w14:textId="77777777" w:rsidTr="00511ACE">
        <w:trPr>
          <w:trHeight w:val="39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E531BE8" w14:textId="7887220E" w:rsidR="00CA3ACF" w:rsidRPr="00CA3ACF" w:rsidRDefault="00CA3ACF" w:rsidP="00511ACE">
            <w:pPr>
              <w:pStyle w:val="Akapitzlist"/>
              <w:numPr>
                <w:ilvl w:val="0"/>
                <w:numId w:val="1"/>
              </w:numPr>
              <w:spacing w:after="0" w:line="259" w:lineRule="auto"/>
              <w:rPr>
                <w:b/>
                <w:color w:val="auto"/>
              </w:rPr>
            </w:pPr>
            <w:r w:rsidRPr="00CA3ACF">
              <w:rPr>
                <w:b/>
                <w:smallCaps/>
                <w:color w:val="auto"/>
                <w:sz w:val="24"/>
              </w:rPr>
              <w:t>efekty uczenia się</w:t>
            </w:r>
          </w:p>
        </w:tc>
      </w:tr>
      <w:tr w:rsidR="00C01834" w:rsidRPr="00C01834" w14:paraId="4731D0CC" w14:textId="77777777" w:rsidTr="00511ACE">
        <w:trPr>
          <w:trHeight w:val="77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BD5C5F3" w14:textId="77777777" w:rsidR="00C01834" w:rsidRPr="00C01834" w:rsidRDefault="00C01834" w:rsidP="00511ACE">
            <w:pPr>
              <w:spacing w:after="0" w:line="259" w:lineRule="auto"/>
              <w:ind w:left="116" w:firstLine="0"/>
              <w:rPr>
                <w:b/>
                <w:color w:val="auto"/>
              </w:rPr>
            </w:pPr>
            <w:r w:rsidRPr="00C01834">
              <w:rPr>
                <w:b/>
                <w:color w:val="auto"/>
              </w:rPr>
              <w:t>Numer efektu uczenia się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0317E827" w14:textId="77777777" w:rsidR="00C01834" w:rsidRPr="00C01834" w:rsidRDefault="00C01834" w:rsidP="00511ACE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Efekty w zakresie</w:t>
            </w:r>
          </w:p>
        </w:tc>
      </w:tr>
      <w:tr w:rsidR="00C01834" w:rsidRPr="00C01834" w14:paraId="47DBE995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D23F787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Wiedzy – Absolwent zna i rozumie:</w:t>
            </w:r>
          </w:p>
        </w:tc>
      </w:tr>
      <w:tr w:rsidR="00C01834" w:rsidRPr="00C01834" w14:paraId="52665090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A9CD66A" w14:textId="66B585EC" w:rsidR="00C01834" w:rsidRPr="00C01834" w:rsidRDefault="004B3229" w:rsidP="00D773DA">
            <w:pPr>
              <w:spacing w:after="0" w:line="259" w:lineRule="auto"/>
              <w:ind w:left="161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</w:t>
            </w:r>
            <w:r w:rsidR="00E4703C">
              <w:rPr>
                <w:color w:val="auto"/>
              </w:rPr>
              <w:t>2.</w:t>
            </w:r>
            <w:r>
              <w:rPr>
                <w:color w:val="auto"/>
              </w:rPr>
              <w:t>W</w:t>
            </w:r>
            <w:r w:rsidR="00E4703C">
              <w:rPr>
                <w:color w:val="auto"/>
              </w:rPr>
              <w:t>.13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2BF45792" w14:textId="77777777" w:rsidR="00E4703C" w:rsidRPr="00E4703C" w:rsidRDefault="00E4703C" w:rsidP="00E4703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4703C">
              <w:rPr>
                <w:color w:val="auto"/>
              </w:rPr>
              <w:t>zna i rozumie podstawy wiedzy informatycznej, matematycznej i statystycznej analizy danych niezbędnej w</w:t>
            </w:r>
          </w:p>
          <w:p w14:paraId="4DDA7FD1" w14:textId="57D04A90" w:rsidR="00C01834" w:rsidRPr="00C01834" w:rsidRDefault="00E4703C" w:rsidP="00E4703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4703C">
              <w:rPr>
                <w:color w:val="auto"/>
              </w:rPr>
              <w:t>elektroradiologii</w:t>
            </w:r>
          </w:p>
        </w:tc>
      </w:tr>
      <w:tr w:rsidR="00C01834" w:rsidRPr="00C01834" w14:paraId="5EB91636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491FA992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Umiejętności – Absolwent potrafi:</w:t>
            </w:r>
          </w:p>
        </w:tc>
      </w:tr>
      <w:tr w:rsidR="00C01834" w:rsidRPr="00C01834" w14:paraId="79B138D6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7D95FD17" w14:textId="74A9C868" w:rsidR="00C01834" w:rsidRPr="00C01834" w:rsidRDefault="004B3229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</w:t>
            </w:r>
            <w:r w:rsidR="00E4703C">
              <w:rPr>
                <w:color w:val="auto"/>
              </w:rPr>
              <w:t>2.U.02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5C0EF39" w14:textId="77777777" w:rsidR="00E4703C" w:rsidRPr="00E4703C" w:rsidRDefault="00E4703C" w:rsidP="00E4703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4703C">
              <w:rPr>
                <w:color w:val="auto"/>
              </w:rPr>
              <w:t>Potrafi posługiwać się zaawansowanym technicznie aparaturą i sprzętem radiologicznym i elektromedycznym</w:t>
            </w:r>
          </w:p>
          <w:p w14:paraId="7E1B55A3" w14:textId="05A65D64" w:rsidR="00C01834" w:rsidRPr="00C01834" w:rsidRDefault="00E4703C" w:rsidP="00E4703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4703C">
              <w:rPr>
                <w:color w:val="auto"/>
              </w:rPr>
              <w:t>stosowanym w zakresie elektroradiologii.</w:t>
            </w:r>
          </w:p>
        </w:tc>
      </w:tr>
      <w:tr w:rsidR="00C01834" w:rsidRPr="00C01834" w14:paraId="1A876B0F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EDE55DE" w14:textId="050A0B92" w:rsidR="00C01834" w:rsidRPr="00C01834" w:rsidRDefault="004B3229" w:rsidP="00D773DA">
            <w:pPr>
              <w:spacing w:after="0" w:line="259" w:lineRule="auto"/>
              <w:ind w:left="1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E</w:t>
            </w:r>
            <w:r w:rsidR="00E4703C">
              <w:rPr>
                <w:color w:val="auto"/>
              </w:rPr>
              <w:t>2.U.06</w:t>
            </w: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15DFCFFE" w14:textId="77777777" w:rsidR="00E4703C" w:rsidRPr="00E4703C" w:rsidRDefault="00E4703C" w:rsidP="00E4703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4703C">
              <w:rPr>
                <w:color w:val="auto"/>
              </w:rPr>
              <w:t>Potrafi posługiwać się wyspecjalizowanymi narzędziami i technikami Informatycznymi w celu pozyskiwania danych,</w:t>
            </w:r>
          </w:p>
          <w:p w14:paraId="5290DD52" w14:textId="463AF540" w:rsidR="00C01834" w:rsidRPr="00C01834" w:rsidRDefault="00E4703C" w:rsidP="00E4703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E4703C">
              <w:rPr>
                <w:color w:val="auto"/>
              </w:rPr>
              <w:t>a także analizować i krytycznie oceniać te dane</w:t>
            </w:r>
          </w:p>
        </w:tc>
      </w:tr>
      <w:tr w:rsidR="00C01834" w:rsidRPr="00C01834" w14:paraId="4AB40494" w14:textId="77777777" w:rsidTr="00D773DA">
        <w:trPr>
          <w:trHeight w:val="367"/>
        </w:trPr>
        <w:tc>
          <w:tcPr>
            <w:tcW w:w="1019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nil"/>
            </w:tcBorders>
          </w:tcPr>
          <w:p w14:paraId="5822D0E0" w14:textId="77777777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Kompetencji społecznych – Absolwent jest gotów do:</w:t>
            </w:r>
          </w:p>
        </w:tc>
      </w:tr>
      <w:tr w:rsidR="00C01834" w:rsidRPr="00C01834" w14:paraId="268C452C" w14:textId="77777777" w:rsidTr="00CA3ACF">
        <w:trPr>
          <w:trHeight w:val="367"/>
        </w:trPr>
        <w:tc>
          <w:tcPr>
            <w:tcW w:w="153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7208E7C" w14:textId="3E0BC3D0" w:rsidR="00C01834" w:rsidRPr="00C01834" w:rsidRDefault="00C01834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</w:p>
        </w:tc>
        <w:tc>
          <w:tcPr>
            <w:tcW w:w="866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7071A64" w14:textId="5EDF7802" w:rsidR="00C01834" w:rsidRPr="00C01834" w:rsidRDefault="00C01834" w:rsidP="00D773DA">
            <w:pPr>
              <w:spacing w:after="0" w:line="259" w:lineRule="auto"/>
              <w:ind w:left="0" w:firstLine="0"/>
              <w:rPr>
                <w:color w:val="auto"/>
              </w:rPr>
            </w:pPr>
          </w:p>
        </w:tc>
      </w:tr>
    </w:tbl>
    <w:p w14:paraId="28C04E73" w14:textId="6A9C8562" w:rsidR="00C01834" w:rsidRPr="00FC0DCA" w:rsidRDefault="00C01834" w:rsidP="00FC0DCA">
      <w:pPr>
        <w:spacing w:after="11" w:line="259" w:lineRule="auto"/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2252"/>
        <w:gridCol w:w="5387"/>
        <w:gridCol w:w="2551"/>
      </w:tblGrid>
      <w:tr w:rsidR="00CA3ACF" w:rsidRPr="00C01834" w14:paraId="578ED830" w14:textId="77777777" w:rsidTr="00511ACE">
        <w:trPr>
          <w:trHeight w:val="26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1BD1B80F" w14:textId="76B7FD45" w:rsidR="00CA3ACF" w:rsidRPr="00CA3ACF" w:rsidRDefault="00CA3ACF" w:rsidP="00511ACE">
            <w:pPr>
              <w:pStyle w:val="Akapitzlist"/>
              <w:numPr>
                <w:ilvl w:val="0"/>
                <w:numId w:val="1"/>
              </w:numPr>
              <w:rPr>
                <w:b/>
                <w:smallCaps/>
                <w:color w:val="auto"/>
              </w:rPr>
            </w:pPr>
            <w:bookmarkStart w:id="0" w:name="_Hlk33527891"/>
            <w:r w:rsidRPr="00CA3ACF">
              <w:rPr>
                <w:b/>
                <w:smallCaps/>
                <w:color w:val="auto"/>
                <w:sz w:val="24"/>
              </w:rPr>
              <w:lastRenderedPageBreak/>
              <w:t>Zajęcia</w:t>
            </w:r>
          </w:p>
        </w:tc>
      </w:tr>
      <w:tr w:rsidR="00A3096F" w:rsidRPr="00C01834" w14:paraId="4EFDCA89" w14:textId="658C43A8" w:rsidTr="00A3096F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748E4E77" w14:textId="77777777" w:rsidR="00A3096F" w:rsidRPr="00C01834" w:rsidRDefault="00A3096F" w:rsidP="00D773DA">
            <w:pPr>
              <w:spacing w:after="0" w:line="259" w:lineRule="auto"/>
              <w:ind w:left="5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Forma zajęć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12653062" w14:textId="77777777" w:rsidR="00A3096F" w:rsidRPr="00C01834" w:rsidRDefault="00A3096F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 w:rsidRPr="00C01834">
              <w:rPr>
                <w:b/>
                <w:color w:val="auto"/>
              </w:rPr>
              <w:t>Treści programowe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510C661D" w14:textId="68947BFB" w:rsidR="00A3096F" w:rsidRPr="00C01834" w:rsidRDefault="00A3096F" w:rsidP="00A3096F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Efekty uczenia się</w:t>
            </w:r>
          </w:p>
        </w:tc>
      </w:tr>
      <w:tr w:rsidR="00E4703C" w:rsidRPr="00C01834" w14:paraId="1F8A43F4" w14:textId="63B63775" w:rsidTr="00D20EA3">
        <w:trPr>
          <w:trHeight w:val="265"/>
        </w:trPr>
        <w:tc>
          <w:tcPr>
            <w:tcW w:w="22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794FC6AD" w14:textId="587B54EC" w:rsidR="00E4703C" w:rsidRPr="00C01834" w:rsidRDefault="00E4703C" w:rsidP="00D773DA">
            <w:pPr>
              <w:spacing w:after="0" w:line="259" w:lineRule="auto"/>
              <w:ind w:left="5"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Wykłady (15 godz.)</w:t>
            </w:r>
            <w:r w:rsidR="003744FD">
              <w:rPr>
                <w:color w:val="auto"/>
              </w:rPr>
              <w:t xml:space="preserve"> + seminaria (15 godz.)</w:t>
            </w:r>
          </w:p>
        </w:tc>
        <w:tc>
          <w:tcPr>
            <w:tcW w:w="53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FA2293A" w14:textId="77777777" w:rsidR="00E4703C" w:rsidRDefault="003744FD" w:rsidP="003744F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720"/>
            </w:pPr>
            <w:r w:rsidRPr="003744FD">
              <w:t>Wprowadzenie do generatywnej sztucznej inteligencji i dużych modeli językowych</w:t>
            </w:r>
          </w:p>
          <w:p w14:paraId="7528C925" w14:textId="53A09555" w:rsidR="00565F38" w:rsidRPr="007F1D2D" w:rsidRDefault="00565F38" w:rsidP="00565F38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>
              <w:t>Wprowadzenie do</w:t>
            </w:r>
            <w:r w:rsidRPr="007F1D2D">
              <w:t xml:space="preserve"> generatywnej sztucznej inteligencji</w:t>
            </w:r>
          </w:p>
          <w:p w14:paraId="38B978E4" w14:textId="58A851C1" w:rsidR="00565F38" w:rsidRPr="007F1D2D" w:rsidRDefault="00565F38" w:rsidP="00565F38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>
              <w:t xml:space="preserve">Duże modele językowe </w:t>
            </w:r>
            <w:r w:rsidRPr="007F1D2D">
              <w:t>(LLM – Large Language Models)</w:t>
            </w:r>
          </w:p>
          <w:p w14:paraId="3E5FA4C3" w14:textId="6A30F323" w:rsidR="00565F38" w:rsidRDefault="00565F38" w:rsidP="00565F38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 w:rsidRPr="007F1D2D">
              <w:t xml:space="preserve">Najważniejsze zasady działania </w:t>
            </w:r>
            <w:r>
              <w:t>LMMs</w:t>
            </w:r>
            <w:r w:rsidRPr="007F1D2D">
              <w:t xml:space="preserve">: token, tokenizacja, embedding. </w:t>
            </w:r>
          </w:p>
          <w:p w14:paraId="76408FD3" w14:textId="2FF21714" w:rsidR="00565F38" w:rsidRPr="007F1D2D" w:rsidRDefault="00565F38" w:rsidP="00565F38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>
              <w:t>Modele GPT.</w:t>
            </w:r>
          </w:p>
          <w:p w14:paraId="25DA7A54" w14:textId="3398CCAB" w:rsidR="00565F38" w:rsidRDefault="00565F38" w:rsidP="00565F38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 w:rsidRPr="007F1D2D">
              <w:t xml:space="preserve">Przegląd dostępnych LLM ogólnego zastosowania: podobieństwa, różnice, </w:t>
            </w:r>
            <w:r>
              <w:t>przegląd z</w:t>
            </w:r>
            <w:r w:rsidRPr="007F1D2D">
              <w:t>astosowa</w:t>
            </w:r>
            <w:r>
              <w:t>ń.</w:t>
            </w:r>
            <w:r w:rsidRPr="007F1D2D">
              <w:t xml:space="preserve"> </w:t>
            </w:r>
          </w:p>
          <w:p w14:paraId="4993B8EA" w14:textId="5141AE6E" w:rsidR="00565F38" w:rsidRPr="007F1D2D" w:rsidRDefault="00565F38" w:rsidP="00565F38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>
              <w:t>Benchmarki z uwzględnieniem Healthbench.</w:t>
            </w:r>
          </w:p>
          <w:p w14:paraId="39AE7770" w14:textId="0AF338AA" w:rsidR="00565F38" w:rsidRDefault="00565F38" w:rsidP="00565F38">
            <w:pPr>
              <w:pStyle w:val="Akapitzlist"/>
              <w:numPr>
                <w:ilvl w:val="0"/>
                <w:numId w:val="13"/>
              </w:numPr>
              <w:spacing w:after="0" w:line="240" w:lineRule="auto"/>
            </w:pPr>
            <w:r w:rsidRPr="007F1D2D">
              <w:t>Polskie modele językowe: Bielik, PLUM.</w:t>
            </w:r>
          </w:p>
          <w:p w14:paraId="442F301C" w14:textId="77777777" w:rsidR="003744FD" w:rsidRDefault="003744FD" w:rsidP="003744F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720"/>
            </w:pPr>
            <w:r w:rsidRPr="003744FD">
              <w:t>Podstawowe zasady konstruowania promptów</w:t>
            </w:r>
          </w:p>
          <w:p w14:paraId="4F4A70FD" w14:textId="5162A4EA" w:rsidR="00565F38" w:rsidRPr="00565F38" w:rsidRDefault="00565F38" w:rsidP="00565F3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i/>
                <w:iCs/>
              </w:rPr>
            </w:pPr>
            <w:r w:rsidRPr="00565F38">
              <w:rPr>
                <w:lang w:val="en-US"/>
              </w:rPr>
              <w:t xml:space="preserve">Prompt: definicja. Inżynieria promptów. </w:t>
            </w:r>
            <w:r w:rsidRPr="00565F38">
              <w:rPr>
                <w:i/>
                <w:iCs/>
                <w:lang w:val="en-US"/>
              </w:rPr>
              <w:t>Evidence-based prompting.</w:t>
            </w:r>
            <w:r w:rsidRPr="00565F38">
              <w:rPr>
                <w:lang w:val="en-US"/>
              </w:rPr>
              <w:br/>
            </w:r>
            <w:r w:rsidRPr="00540387">
              <w:t xml:space="preserve">2. </w:t>
            </w:r>
            <w:r w:rsidRPr="008D1E5F">
              <w:t xml:space="preserve">Zasada </w:t>
            </w:r>
            <w:r w:rsidRPr="00565F38">
              <w:rPr>
                <w:i/>
                <w:iCs/>
              </w:rPr>
              <w:t>Garbage In, Garbage Out</w:t>
            </w:r>
          </w:p>
          <w:p w14:paraId="75DD67C2" w14:textId="6E7D2F6E" w:rsidR="00565F38" w:rsidRDefault="00565F38" w:rsidP="00565F38">
            <w:pPr>
              <w:pStyle w:val="Akapitzlist"/>
              <w:numPr>
                <w:ilvl w:val="0"/>
                <w:numId w:val="15"/>
              </w:numPr>
              <w:spacing w:after="0" w:line="240" w:lineRule="auto"/>
            </w:pPr>
            <w:r w:rsidRPr="007F1D2D">
              <w:t>Najważniejsze zasady konstruowania promptów</w:t>
            </w:r>
            <w:r>
              <w:t xml:space="preserve"> (</w:t>
            </w:r>
            <w:r w:rsidRPr="00565F38">
              <w:rPr>
                <w:i/>
                <w:iCs/>
              </w:rPr>
              <w:t>initial prompt</w:t>
            </w:r>
            <w:r>
              <w:t>)</w:t>
            </w:r>
            <w:r w:rsidRPr="007F1D2D">
              <w:t>: rola</w:t>
            </w:r>
            <w:r>
              <w:t xml:space="preserve"> (</w:t>
            </w:r>
            <w:r w:rsidRPr="00565F38">
              <w:rPr>
                <w:i/>
                <w:iCs/>
              </w:rPr>
              <w:t>persona</w:t>
            </w:r>
            <w:r>
              <w:t>)</w:t>
            </w:r>
            <w:r w:rsidRPr="007F1D2D">
              <w:t xml:space="preserve">, </w:t>
            </w:r>
            <w:r>
              <w:t xml:space="preserve">instrukcja, głos, ton, styl, interaktywności, </w:t>
            </w:r>
            <w:r w:rsidRPr="007F1D2D">
              <w:t>kontekst, format</w:t>
            </w:r>
            <w:r>
              <w:t xml:space="preserve"> odpowiedzi</w:t>
            </w:r>
            <w:r w:rsidRPr="007F1D2D">
              <w:t>.</w:t>
            </w:r>
          </w:p>
          <w:p w14:paraId="49E2731D" w14:textId="64C02F5E" w:rsidR="00565F38" w:rsidRPr="007F1D2D" w:rsidRDefault="00565F38" w:rsidP="00565F38">
            <w:pPr>
              <w:pStyle w:val="Akapitzlist"/>
              <w:numPr>
                <w:ilvl w:val="0"/>
                <w:numId w:val="15"/>
              </w:numPr>
              <w:spacing w:after="0" w:line="240" w:lineRule="auto"/>
            </w:pPr>
            <w:r>
              <w:t xml:space="preserve">Iterowanie. </w:t>
            </w:r>
            <w:r w:rsidRPr="007F1D2D">
              <w:br/>
            </w:r>
            <w:r>
              <w:t>5. Metody tworzenia opisu persony: manualny vs. wspomagany przez AI</w:t>
            </w:r>
          </w:p>
          <w:p w14:paraId="0F670045" w14:textId="4390C8DC" w:rsidR="00565F38" w:rsidRPr="00EF7ECA" w:rsidRDefault="00565F38" w:rsidP="00565F38">
            <w:pPr>
              <w:pStyle w:val="Akapitzlist"/>
              <w:numPr>
                <w:ilvl w:val="0"/>
                <w:numId w:val="15"/>
              </w:numPr>
              <w:spacing w:after="0" w:line="240" w:lineRule="auto"/>
            </w:pPr>
            <w:r w:rsidRPr="00EF7ECA">
              <w:t>Zarządzanie kontekstem (okno kontekstowe, p</w:t>
            </w:r>
            <w:r>
              <w:t>liki .txt)</w:t>
            </w:r>
          </w:p>
          <w:p w14:paraId="7D821DA5" w14:textId="40C85A84" w:rsidR="00565F38" w:rsidRPr="00565F38" w:rsidRDefault="00565F38" w:rsidP="00565F3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lang w:val="en-US"/>
              </w:rPr>
            </w:pPr>
            <w:r w:rsidRPr="00565F38">
              <w:rPr>
                <w:lang w:val="en-US"/>
              </w:rPr>
              <w:t>Shot-based prompting: Zero-shot, One-shot, Few-shot prompting.</w:t>
            </w:r>
          </w:p>
          <w:p w14:paraId="03B84732" w14:textId="1966B6B2" w:rsidR="00565F38" w:rsidRPr="00540387" w:rsidRDefault="00565F38" w:rsidP="00565F38">
            <w:pPr>
              <w:pStyle w:val="Akapitzlist"/>
              <w:numPr>
                <w:ilvl w:val="0"/>
                <w:numId w:val="15"/>
              </w:numPr>
              <w:spacing w:after="0" w:line="240" w:lineRule="auto"/>
            </w:pPr>
            <w:r w:rsidRPr="00540387">
              <w:t>Formatowanie prompt</w:t>
            </w:r>
            <w:r>
              <w:t>ó</w:t>
            </w:r>
            <w:r w:rsidRPr="00540387">
              <w:t xml:space="preserve">w </w:t>
            </w:r>
            <w:r>
              <w:t>(</w:t>
            </w:r>
            <w:r w:rsidRPr="00565F38">
              <w:rPr>
                <w:i/>
                <w:iCs/>
              </w:rPr>
              <w:t>Delimiters</w:t>
            </w:r>
            <w:r>
              <w:t>)</w:t>
            </w:r>
          </w:p>
          <w:p w14:paraId="4F8FED34" w14:textId="07C79CCD" w:rsidR="00565F38" w:rsidRPr="00565F38" w:rsidRDefault="00565F38" w:rsidP="00565F3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i/>
                <w:iCs/>
                <w:lang w:val="en-US"/>
              </w:rPr>
            </w:pPr>
            <w:r w:rsidRPr="00E53087">
              <w:rPr>
                <w:lang w:val="en-US"/>
              </w:rPr>
              <w:t>Optymalizacja promptów (</w:t>
            </w:r>
            <w:r w:rsidRPr="00E53087">
              <w:rPr>
                <w:i/>
                <w:iCs/>
                <w:lang w:val="en-US"/>
              </w:rPr>
              <w:t>Meta prompting</w:t>
            </w:r>
            <w:r w:rsidRPr="00E53087">
              <w:rPr>
                <w:lang w:val="en-US"/>
              </w:rPr>
              <w:t xml:space="preserve">). </w:t>
            </w:r>
            <w:r w:rsidRPr="00E53087">
              <w:rPr>
                <w:lang w:val="en-US"/>
              </w:rPr>
              <w:br/>
            </w:r>
            <w:r w:rsidRPr="00565F38">
              <w:rPr>
                <w:lang w:val="en-US"/>
              </w:rPr>
              <w:t xml:space="preserve">10. Wybrane </w:t>
            </w:r>
            <w:r w:rsidRPr="00565F38">
              <w:rPr>
                <w:i/>
                <w:iCs/>
                <w:lang w:val="en-US"/>
              </w:rPr>
              <w:t>evidence-based</w:t>
            </w:r>
            <w:r w:rsidRPr="00565F38">
              <w:rPr>
                <w:lang w:val="en-US"/>
              </w:rPr>
              <w:t xml:space="preserve"> metody optymalizacji promptów: </w:t>
            </w:r>
            <w:r w:rsidRPr="00565F38">
              <w:rPr>
                <w:i/>
                <w:iCs/>
                <w:lang w:val="en-US"/>
              </w:rPr>
              <w:t>Echo Prompting, Rephrase-and-Respond Prompting, Re-Read Prompting</w:t>
            </w:r>
          </w:p>
          <w:p w14:paraId="5F8BCBE4" w14:textId="3F182637" w:rsidR="00565F38" w:rsidRPr="008D1E5F" w:rsidRDefault="00565F38" w:rsidP="00565F38">
            <w:pPr>
              <w:pStyle w:val="Akapitzlist"/>
              <w:numPr>
                <w:ilvl w:val="0"/>
                <w:numId w:val="15"/>
              </w:numPr>
              <w:spacing w:after="0" w:line="240" w:lineRule="auto"/>
            </w:pPr>
            <w:r w:rsidRPr="008D1E5F">
              <w:t>Odwrócony prompting (</w:t>
            </w:r>
            <w:r w:rsidRPr="00565F38">
              <w:rPr>
                <w:i/>
                <w:iCs/>
              </w:rPr>
              <w:t>Reversed prompting</w:t>
            </w:r>
            <w:r w:rsidRPr="008D1E5F">
              <w:t>)</w:t>
            </w:r>
          </w:p>
          <w:p w14:paraId="537875C2" w14:textId="38395046" w:rsidR="00565F38" w:rsidRPr="003744FD" w:rsidRDefault="00565F38" w:rsidP="00565F38">
            <w:pPr>
              <w:pStyle w:val="Akapitzlist"/>
              <w:numPr>
                <w:ilvl w:val="0"/>
                <w:numId w:val="15"/>
              </w:numPr>
              <w:spacing w:after="0" w:line="240" w:lineRule="auto"/>
            </w:pPr>
            <w:r w:rsidRPr="007F1D2D">
              <w:t>Wybrane schematy (</w:t>
            </w:r>
            <w:r>
              <w:t>F</w:t>
            </w:r>
            <w:r w:rsidRPr="00565F38">
              <w:rPr>
                <w:i/>
                <w:iCs/>
              </w:rPr>
              <w:t>rameworks</w:t>
            </w:r>
            <w:r w:rsidRPr="007F1D2D">
              <w:t>) konstrukcji promptów</w:t>
            </w:r>
            <w:r>
              <w:t>.</w:t>
            </w:r>
          </w:p>
          <w:p w14:paraId="06B78594" w14:textId="77777777" w:rsidR="003744FD" w:rsidRDefault="003744FD" w:rsidP="003744F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720"/>
            </w:pPr>
            <w:r w:rsidRPr="003744FD">
              <w:t>Zaawansowane techniki promptingu</w:t>
            </w:r>
          </w:p>
          <w:p w14:paraId="169897AC" w14:textId="39171AA4" w:rsidR="00565F38" w:rsidRPr="00565F38" w:rsidRDefault="00565F38" w:rsidP="00565F38">
            <w:pPr>
              <w:pStyle w:val="Akapitzlist"/>
              <w:numPr>
                <w:ilvl w:val="0"/>
                <w:numId w:val="17"/>
              </w:numPr>
              <w:spacing w:after="0" w:line="240" w:lineRule="auto"/>
            </w:pPr>
            <w:r w:rsidRPr="00565F38">
              <w:t>Przegląd i analiza piśmiennictwa naukowego dotyczącego skutecznych metod tworzenia promptów</w:t>
            </w:r>
          </w:p>
          <w:p w14:paraId="76FF59C1" w14:textId="4DD173F5" w:rsidR="00565F38" w:rsidRPr="00565F38" w:rsidRDefault="00565F38" w:rsidP="00565F3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lang w:val="en-US"/>
              </w:rPr>
            </w:pPr>
            <w:r w:rsidRPr="00565F38">
              <w:rPr>
                <w:lang w:val="en-US"/>
              </w:rPr>
              <w:t>Persona prompting: Multi-Persona Prompting,  ExpertPersona, MegaPersona</w:t>
            </w:r>
          </w:p>
          <w:p w14:paraId="3D232AC3" w14:textId="1351341C" w:rsidR="00565F38" w:rsidRPr="00565F38" w:rsidRDefault="00565F38" w:rsidP="00565F3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lang w:val="en-US"/>
              </w:rPr>
            </w:pPr>
            <w:r w:rsidRPr="00565F38">
              <w:rPr>
                <w:lang w:val="en-US"/>
              </w:rPr>
              <w:t>Łańcuch myśli (</w:t>
            </w:r>
            <w:r w:rsidRPr="00565F38">
              <w:rPr>
                <w:i/>
                <w:iCs/>
                <w:lang w:val="en-US"/>
              </w:rPr>
              <w:t>Chain-of-Though</w:t>
            </w:r>
            <w:r w:rsidRPr="00565F38">
              <w:rPr>
                <w:lang w:val="en-US"/>
              </w:rPr>
              <w:t xml:space="preserve">): Atom-of-Thoughts (AoT), Chain-of-Continuous-Thought (CCoT), Chain-of-Feedback (CoF), Chain-of-Thought Factored Decomposition Prompting, </w:t>
            </w:r>
            <w:r w:rsidRPr="00565F38">
              <w:rPr>
                <w:rStyle w:val="Pogrubienie"/>
                <w:b w:val="0"/>
                <w:bCs w:val="0"/>
                <w:lang w:val="en-US"/>
              </w:rPr>
              <w:t>Tree-of-Thoughts (ToT)</w:t>
            </w:r>
            <w:r w:rsidRPr="00565F38">
              <w:rPr>
                <w:rStyle w:val="Pogrubienie"/>
                <w:lang w:val="en-US"/>
              </w:rPr>
              <w:t xml:space="preserve"> </w:t>
            </w:r>
            <w:r w:rsidRPr="00565F38">
              <w:rPr>
                <w:rStyle w:val="Pogrubienie"/>
                <w:b w:val="0"/>
                <w:bCs w:val="0"/>
                <w:lang w:val="en-US"/>
              </w:rPr>
              <w:t>Prompting,</w:t>
            </w:r>
            <w:r w:rsidRPr="00565F38">
              <w:rPr>
                <w:rStyle w:val="Pogrubienie"/>
                <w:lang w:val="en-US"/>
              </w:rPr>
              <w:t xml:space="preserve"> </w:t>
            </w:r>
            <w:r w:rsidRPr="00565F38">
              <w:rPr>
                <w:lang w:val="en-US"/>
              </w:rPr>
              <w:t>Skeleton-of-Thought (SoT) Prompting</w:t>
            </w:r>
          </w:p>
          <w:p w14:paraId="092C592E" w14:textId="205AA35B" w:rsidR="00565F38" w:rsidRPr="00565F38" w:rsidRDefault="00565F38" w:rsidP="00565F3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lang w:val="en-US"/>
              </w:rPr>
            </w:pPr>
            <w:r w:rsidRPr="00565F38">
              <w:rPr>
                <w:lang w:val="en-US"/>
              </w:rPr>
              <w:t xml:space="preserve">Metody promptingu zapobiegające halucynacjom AI:  Checklist Prompting, Disinformation Detection And Removal Prompting, </w:t>
            </w:r>
          </w:p>
          <w:p w14:paraId="0565E121" w14:textId="60F47AAB" w:rsidR="00565F38" w:rsidRPr="00565F38" w:rsidRDefault="00565F38" w:rsidP="00565F38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lang w:val="en-US"/>
              </w:rPr>
            </w:pPr>
            <w:r w:rsidRPr="00565F38">
              <w:rPr>
                <w:lang w:val="en-US"/>
              </w:rPr>
              <w:t xml:space="preserve">Inne techniki promptingu: </w:t>
            </w:r>
            <w:r w:rsidRPr="00565F38">
              <w:rPr>
                <w:rStyle w:val="Pogrubienie"/>
                <w:b w:val="0"/>
                <w:bCs w:val="0"/>
                <w:lang w:val="en-US"/>
              </w:rPr>
              <w:t>Kickstart Prompting,</w:t>
            </w:r>
            <w:r w:rsidRPr="00565F38">
              <w:rPr>
                <w:rStyle w:val="Pogrubienie"/>
                <w:lang w:val="en-US"/>
              </w:rPr>
              <w:t xml:space="preserve"> </w:t>
            </w:r>
            <w:r w:rsidRPr="00565F38">
              <w:rPr>
                <w:lang w:val="en-US"/>
              </w:rPr>
              <w:t>Politeness Prompting, Self-Ask Prompting, Self-Reflection Prompting, Politeness Prompting</w:t>
            </w:r>
          </w:p>
          <w:p w14:paraId="307A50EF" w14:textId="00590A12" w:rsidR="00565F38" w:rsidRPr="00565F38" w:rsidRDefault="00565F38" w:rsidP="00565F38">
            <w:pPr>
              <w:pStyle w:val="Akapitzlist"/>
              <w:numPr>
                <w:ilvl w:val="0"/>
                <w:numId w:val="17"/>
              </w:numPr>
              <w:spacing w:after="0" w:line="240" w:lineRule="auto"/>
            </w:pPr>
            <w:r w:rsidRPr="00565F38">
              <w:t>Specyfika tworzenia promptów  w modelu GPT-5 (przykłady).</w:t>
            </w:r>
          </w:p>
          <w:p w14:paraId="32C4A1DA" w14:textId="77777777" w:rsidR="00565F38" w:rsidRDefault="000C7D2D" w:rsidP="000C7D2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firstLine="4307"/>
            </w:pPr>
            <w:r w:rsidRPr="000C7D2D">
              <w:t>Wprowadzenie do sztucznej inteligencji</w:t>
            </w:r>
          </w:p>
          <w:p w14:paraId="3275A7C9" w14:textId="3E269597" w:rsidR="000C7D2D" w:rsidRDefault="000C7D2D" w:rsidP="000C7D2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055" w:hanging="283"/>
            </w:pPr>
            <w:r w:rsidRPr="000C7D2D">
              <w:t>Definicje, historia i klasyfikacja AI (AI – ML – Deep Learning)</w:t>
            </w:r>
          </w:p>
          <w:p w14:paraId="2E2DD071" w14:textId="0DC1A624" w:rsidR="000C7D2D" w:rsidRDefault="00FF0DDF" w:rsidP="000C7D2D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1055" w:hanging="283"/>
            </w:pPr>
            <w:r>
              <w:t>A</w:t>
            </w:r>
            <w:r w:rsidR="00B511FB">
              <w:t>l</w:t>
            </w:r>
            <w:r w:rsidR="000C7D2D" w:rsidRPr="000C7D2D">
              <w:t>gorytmy i systemy eksperckie: podstawy działania, przykłady w medycynie</w:t>
            </w:r>
          </w:p>
          <w:p w14:paraId="30BBDC27" w14:textId="77777777" w:rsidR="000C7D2D" w:rsidRDefault="000C7D2D" w:rsidP="000C7D2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firstLine="4307"/>
            </w:pPr>
            <w:r w:rsidRPr="000C7D2D">
              <w:t>Nowe technologie w diagnostyce</w:t>
            </w:r>
          </w:p>
          <w:p w14:paraId="48238875" w14:textId="0BEAC68B" w:rsidR="000C7D2D" w:rsidRDefault="000C7D2D" w:rsidP="000C7D2D">
            <w:pPr>
              <w:pStyle w:val="Akapitzlist"/>
              <w:numPr>
                <w:ilvl w:val="0"/>
                <w:numId w:val="20"/>
              </w:numPr>
              <w:spacing w:after="0" w:line="240" w:lineRule="auto"/>
            </w:pPr>
            <w:r w:rsidRPr="000C7D2D">
              <w:lastRenderedPageBreak/>
              <w:t>Diagnostyka urazów mózgu: InfraScanner, USG przezczaszkowe, Butterfly iQ+</w:t>
            </w:r>
          </w:p>
          <w:p w14:paraId="5880938D" w14:textId="2614DAAD" w:rsidR="000C7D2D" w:rsidRDefault="00B511FB" w:rsidP="000C7D2D">
            <w:pPr>
              <w:pStyle w:val="Akapitzlist"/>
              <w:numPr>
                <w:ilvl w:val="0"/>
                <w:numId w:val="20"/>
              </w:numPr>
              <w:spacing w:after="0" w:line="240" w:lineRule="auto"/>
            </w:pPr>
            <w:r>
              <w:t>E</w:t>
            </w:r>
            <w:r w:rsidRPr="000C7D2D">
              <w:t>lektroniczne</w:t>
            </w:r>
            <w:r w:rsidR="000C7D2D" w:rsidRPr="000C7D2D">
              <w:t xml:space="preserve"> stetoskopy i analiza dźwięków oddechowych (StethoMe, Eko, Littmann Core)</w:t>
            </w:r>
          </w:p>
          <w:p w14:paraId="454BE814" w14:textId="2E076EF7" w:rsidR="000C7D2D" w:rsidRDefault="000C7D2D" w:rsidP="000C7D2D">
            <w:pPr>
              <w:pStyle w:val="Akapitzlist"/>
              <w:numPr>
                <w:ilvl w:val="0"/>
                <w:numId w:val="20"/>
              </w:numPr>
              <w:spacing w:after="0" w:line="240" w:lineRule="auto"/>
            </w:pPr>
            <w:r w:rsidRPr="000C7D2D">
              <w:t>E-spirometry i systemy zdalnego monitorowania oddechu (AioCare)</w:t>
            </w:r>
          </w:p>
          <w:p w14:paraId="3BE19247" w14:textId="77777777" w:rsidR="000C7D2D" w:rsidRDefault="000C7D2D" w:rsidP="000C7D2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firstLine="4307"/>
            </w:pPr>
            <w:r w:rsidRPr="000C7D2D">
              <w:t>Telemedycyna i urządzenia noszone</w:t>
            </w:r>
          </w:p>
          <w:p w14:paraId="1034291A" w14:textId="3FC9B583" w:rsidR="000C7D2D" w:rsidRDefault="000C7D2D" w:rsidP="000C7D2D">
            <w:pPr>
              <w:pStyle w:val="Akapitzlist"/>
              <w:numPr>
                <w:ilvl w:val="0"/>
                <w:numId w:val="21"/>
              </w:numPr>
              <w:spacing w:after="0" w:line="240" w:lineRule="auto"/>
            </w:pPr>
            <w:r w:rsidRPr="000C7D2D">
              <w:t>Opaski telemedyczne i sensory zdrowotne (SiDLY, Fitbit Health Solutions)</w:t>
            </w:r>
          </w:p>
          <w:p w14:paraId="505A9A18" w14:textId="3315B1DB" w:rsidR="000C7D2D" w:rsidRDefault="000C7D2D" w:rsidP="000C7D2D">
            <w:pPr>
              <w:pStyle w:val="Akapitzlist"/>
              <w:numPr>
                <w:ilvl w:val="0"/>
                <w:numId w:val="21"/>
              </w:numPr>
              <w:spacing w:after="0" w:line="240" w:lineRule="auto"/>
            </w:pPr>
            <w:r w:rsidRPr="000C7D2D">
              <w:t>Integracja danych z urządzeń mobilnych w systemach zdrowotnych</w:t>
            </w:r>
          </w:p>
          <w:p w14:paraId="07297058" w14:textId="77777777" w:rsidR="000C7D2D" w:rsidRDefault="000C7D2D" w:rsidP="000C7D2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firstLine="4307"/>
            </w:pPr>
            <w:r w:rsidRPr="000C7D2D">
              <w:t>Algorytmy AI w praktyce klinicznej</w:t>
            </w:r>
            <w:r>
              <w:t xml:space="preserve"> (przykłady rozwiązań)</w:t>
            </w:r>
          </w:p>
          <w:p w14:paraId="6CC800E5" w14:textId="63C9A48A" w:rsidR="000C7D2D" w:rsidRDefault="000C7D2D" w:rsidP="000C7D2D">
            <w:pPr>
              <w:pStyle w:val="Akapitzlist"/>
              <w:numPr>
                <w:ilvl w:val="0"/>
                <w:numId w:val="22"/>
              </w:numPr>
              <w:spacing w:after="0" w:line="240" w:lineRule="auto"/>
            </w:pPr>
            <w:r w:rsidRPr="000C7D2D">
              <w:t>Zastosowania AI w radiologii (Aidoc), onkologii (Watson for Oncology) i kardiologii (Cardio.AI)</w:t>
            </w:r>
          </w:p>
          <w:p w14:paraId="0836BE70" w14:textId="079D1E13" w:rsidR="000C7D2D" w:rsidRDefault="000C7D2D" w:rsidP="000C7D2D">
            <w:pPr>
              <w:pStyle w:val="Akapitzlist"/>
              <w:numPr>
                <w:ilvl w:val="0"/>
                <w:numId w:val="22"/>
              </w:numPr>
              <w:spacing w:after="0" w:line="240" w:lineRule="auto"/>
            </w:pPr>
            <w:r w:rsidRPr="000C7D2D">
              <w:t>Analiza obrazów medycznych i rozpoznawanie wzorców</w:t>
            </w:r>
          </w:p>
          <w:p w14:paraId="1C0E4DC3" w14:textId="42387F96" w:rsidR="000C7D2D" w:rsidRDefault="000C7D2D" w:rsidP="000C7D2D">
            <w:pPr>
              <w:pStyle w:val="Akapitzlist"/>
              <w:numPr>
                <w:ilvl w:val="0"/>
                <w:numId w:val="22"/>
              </w:numPr>
              <w:spacing w:after="0" w:line="240" w:lineRule="auto"/>
            </w:pPr>
            <w:r w:rsidRPr="000C7D2D">
              <w:t>Modele predykcyjne w ocenie ryzyka chorób</w:t>
            </w:r>
          </w:p>
          <w:p w14:paraId="2A074F3E" w14:textId="77777777" w:rsidR="000C7D2D" w:rsidRDefault="000C7D2D" w:rsidP="000C7D2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firstLine="4307"/>
            </w:pPr>
            <w:r w:rsidRPr="000C7D2D">
              <w:t>Aspekty etyczne i społeczne</w:t>
            </w:r>
          </w:p>
          <w:p w14:paraId="0F85AC3C" w14:textId="77777777" w:rsidR="000C7D2D" w:rsidRDefault="000C7D2D" w:rsidP="000C7D2D">
            <w:pPr>
              <w:pStyle w:val="Akapitzlist"/>
              <w:numPr>
                <w:ilvl w:val="0"/>
                <w:numId w:val="23"/>
              </w:numPr>
              <w:spacing w:after="0" w:line="240" w:lineRule="auto"/>
            </w:pPr>
            <w:r w:rsidRPr="000C7D2D">
              <w:t>Szanse i zagrożenia związane z wdrażaniem AI w ochronie zdrowia</w:t>
            </w:r>
          </w:p>
          <w:p w14:paraId="0485E40C" w14:textId="7CAA5140" w:rsidR="000C7D2D" w:rsidRPr="003744FD" w:rsidRDefault="000C7D2D" w:rsidP="000C7D2D">
            <w:pPr>
              <w:pStyle w:val="Akapitzlist"/>
              <w:numPr>
                <w:ilvl w:val="0"/>
                <w:numId w:val="23"/>
              </w:numPr>
              <w:spacing w:after="0" w:line="240" w:lineRule="auto"/>
            </w:pPr>
            <w:r w:rsidRPr="000C7D2D">
              <w:t>Zaufanie, transparentność i wyjaśnialność algorytmów (Explainable AI)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3B561ED" w14:textId="58541BBE" w:rsidR="00E4703C" w:rsidRPr="00C01834" w:rsidRDefault="00E4703C" w:rsidP="00E4703C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2D9B2416" w14:textId="38EA4382" w:rsidR="00E4703C" w:rsidRDefault="00E4703C" w:rsidP="00E4703C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E2.W.13</w:t>
            </w:r>
          </w:p>
          <w:p w14:paraId="61C3A601" w14:textId="6C18D2BA" w:rsidR="00E4703C" w:rsidRDefault="00E4703C" w:rsidP="00E4703C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E2.U.02</w:t>
            </w:r>
          </w:p>
          <w:p w14:paraId="6B36FC27" w14:textId="4F7E0D28" w:rsidR="00E4703C" w:rsidRPr="00C01834" w:rsidRDefault="00E4703C" w:rsidP="00E4703C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E2.U.06</w:t>
            </w:r>
          </w:p>
          <w:p w14:paraId="607A63EF" w14:textId="11B228C6" w:rsidR="00E4703C" w:rsidRPr="00C01834" w:rsidRDefault="00E4703C" w:rsidP="00164C23">
            <w:pPr>
              <w:spacing w:after="0" w:line="259" w:lineRule="auto"/>
              <w:ind w:left="0"/>
              <w:rPr>
                <w:color w:val="auto"/>
              </w:rPr>
            </w:pPr>
          </w:p>
        </w:tc>
      </w:tr>
      <w:bookmarkEnd w:id="0"/>
    </w:tbl>
    <w:p w14:paraId="346E8384" w14:textId="77777777" w:rsidR="00014630" w:rsidRDefault="00014630" w:rsidP="00E55362">
      <w:pPr>
        <w:pStyle w:val="Nagwek1"/>
        <w:spacing w:after="0"/>
        <w:ind w:left="0" w:firstLine="0"/>
        <w:jc w:val="left"/>
        <w:rPr>
          <w:color w:val="auto"/>
        </w:rPr>
      </w:pPr>
    </w:p>
    <w:tbl>
      <w:tblPr>
        <w:tblStyle w:val="TableGrid"/>
        <w:tblW w:w="5000" w:type="pct"/>
        <w:tblInd w:w="0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88"/>
      </w:tblGrid>
      <w:tr w:rsidR="002955D8" w:rsidRPr="00C01834" w14:paraId="2D101F15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A8C8D28" w14:textId="0D52F38E" w:rsidR="00014630" w:rsidRPr="00014630" w:rsidRDefault="00014630" w:rsidP="00511ACE">
            <w:pPr>
              <w:pStyle w:val="Akapitzlist"/>
              <w:numPr>
                <w:ilvl w:val="0"/>
                <w:numId w:val="1"/>
              </w:numPr>
              <w:rPr>
                <w:b/>
                <w:smallCaps/>
                <w:color w:val="auto"/>
              </w:rPr>
            </w:pPr>
            <w:bookmarkStart w:id="1" w:name="_Hlk33528811"/>
            <w:r w:rsidRPr="00014630">
              <w:rPr>
                <w:b/>
                <w:smallCaps/>
                <w:color w:val="auto"/>
                <w:sz w:val="24"/>
              </w:rPr>
              <w:t>Literatura</w:t>
            </w:r>
          </w:p>
        </w:tc>
      </w:tr>
      <w:tr w:rsidR="002955D8" w:rsidRPr="00C01834" w14:paraId="61C9AAC8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65EA1F8F" w14:textId="04AA8A4F" w:rsidR="00014630" w:rsidRPr="00C01834" w:rsidRDefault="00014630" w:rsidP="009E3ED7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Obowiązkowa</w:t>
            </w:r>
          </w:p>
        </w:tc>
      </w:tr>
      <w:bookmarkEnd w:id="1"/>
      <w:tr w:rsidR="00C73DBC" w:rsidRPr="000C7D2D" w14:paraId="493D1E2C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65FA5CC1" w14:textId="77777777" w:rsidR="003744FD" w:rsidRDefault="003744FD" w:rsidP="003744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r w:rsidRPr="00A7318B">
              <w:rPr>
                <w:lang w:val="en-US"/>
              </w:rPr>
              <w:t xml:space="preserve">Lance Eliot. </w:t>
            </w:r>
            <w:r w:rsidRPr="00A7318B">
              <w:rPr>
                <w:i/>
                <w:iCs/>
                <w:lang w:val="en-US"/>
              </w:rPr>
              <w:t xml:space="preserve">Newest Annual Compilation Of The Best Prompt Engineering Techniques. </w:t>
            </w:r>
            <w:r w:rsidRPr="00A7318B">
              <w:rPr>
                <w:lang w:val="en-US"/>
              </w:rPr>
              <w:t>Forbes, Published Apr 09, 2025.</w:t>
            </w:r>
            <w:hyperlink r:id="rId14" w:history="1">
              <w:r w:rsidRPr="00A7318B">
                <w:rPr>
                  <w:rStyle w:val="Hipercze"/>
                  <w:lang w:val="en-US"/>
                </w:rPr>
                <w:t>https://www.forbes.com/sites/lanceeliot/2025/04/09/annual-compilation-of-the-best-prompt-engineering-techniques/</w:t>
              </w:r>
            </w:hyperlink>
            <w:r w:rsidRPr="00A7318B">
              <w:rPr>
                <w:lang w:val="en-US"/>
              </w:rPr>
              <w:t xml:space="preserve"> </w:t>
            </w:r>
          </w:p>
          <w:p w14:paraId="297D16B2" w14:textId="77777777" w:rsidR="003744FD" w:rsidRDefault="003744FD" w:rsidP="003744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r w:rsidRPr="003744FD">
              <w:rPr>
                <w:lang w:val="en-US"/>
              </w:rPr>
              <w:t xml:space="preserve">Hewing, M., &amp; Leinhos, V. (2024). The prompt canvas: a literature-based practitioner guide for creating effective prompts in large language models. </w:t>
            </w:r>
            <w:r w:rsidRPr="003744FD">
              <w:rPr>
                <w:i/>
                <w:iCs/>
                <w:lang w:val="en-US"/>
              </w:rPr>
              <w:t>arXiv preprint arXiv:2412.05127</w:t>
            </w:r>
            <w:r w:rsidRPr="003744FD">
              <w:rPr>
                <w:lang w:val="en-US"/>
              </w:rPr>
              <w:t>.</w:t>
            </w:r>
          </w:p>
          <w:p w14:paraId="14CC222B" w14:textId="77777777" w:rsidR="003744FD" w:rsidRPr="003744FD" w:rsidRDefault="003744FD" w:rsidP="003744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r w:rsidRPr="003744FD">
              <w:rPr>
                <w:lang w:val="en-US"/>
              </w:rPr>
              <w:t xml:space="preserve">Braun, M., Greve, M., Kegel, F., Kolbe, L. M., &amp; Beyer, P. E. (2024). Can (A) I have a word with you? A taxonomy on the design dimensions of AI prompts. In </w:t>
            </w:r>
            <w:r w:rsidRPr="003744FD">
              <w:rPr>
                <w:i/>
                <w:iCs/>
                <w:lang w:val="en-US"/>
              </w:rPr>
              <w:t>57th Annual Hawaii International Conference on System Sciences, HICSS 2024</w:t>
            </w:r>
            <w:r w:rsidRPr="003744FD">
              <w:rPr>
                <w:lang w:val="en-US"/>
              </w:rPr>
              <w:t xml:space="preserve"> (pp. 559-568). </w:t>
            </w:r>
            <w:r w:rsidRPr="00A7318B">
              <w:t>Hawaii International Conference on System Sciences (HICSS).</w:t>
            </w:r>
          </w:p>
          <w:p w14:paraId="2E966707" w14:textId="77777777" w:rsidR="003744FD" w:rsidRPr="003744FD" w:rsidRDefault="003744FD" w:rsidP="003744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r w:rsidRPr="000C7D2D">
              <w:rPr>
                <w:lang w:val="en-US"/>
              </w:rPr>
              <w:t xml:space="preserve">Schulhoff, S., Ilie, M., Balepur, N., Kahadze, K., Liu, A., Si, C., ... </w:t>
            </w:r>
            <w:r w:rsidRPr="003744FD">
              <w:rPr>
                <w:lang w:val="en-US"/>
              </w:rPr>
              <w:t xml:space="preserve">&amp; Resnik, P. (2024). The prompt report: a systematic survey of prompt engineering techniques. </w:t>
            </w:r>
            <w:r w:rsidRPr="003744FD">
              <w:rPr>
                <w:i/>
                <w:iCs/>
                <w:lang w:val="en-US"/>
              </w:rPr>
              <w:t>arXiv preprint arXiv:2406.06608</w:t>
            </w:r>
          </w:p>
          <w:p w14:paraId="73D315CC" w14:textId="77777777" w:rsidR="003744FD" w:rsidRDefault="003744FD" w:rsidP="003744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r w:rsidRPr="003744FD">
              <w:rPr>
                <w:lang w:val="en-US"/>
              </w:rPr>
              <w:t>Sahoo, P., Singh, A. K., Saha, S., Jain, V., Mondal, S., &amp; Chadha, A. (2024). A systematic survey of prompt engineering in large</w:t>
            </w:r>
            <w:r>
              <w:rPr>
                <w:lang w:val="en-US"/>
              </w:rPr>
              <w:t xml:space="preserve"> </w:t>
            </w:r>
            <w:r w:rsidRPr="003744FD">
              <w:rPr>
                <w:lang w:val="en-US"/>
              </w:rPr>
              <w:t xml:space="preserve">language models: Techniques and applications. </w:t>
            </w:r>
            <w:r w:rsidRPr="003744FD">
              <w:rPr>
                <w:i/>
                <w:iCs/>
                <w:lang w:val="en-US"/>
              </w:rPr>
              <w:t>arXiv preprint arXiv:2402.07927</w:t>
            </w:r>
            <w:r w:rsidRPr="003744FD">
              <w:rPr>
                <w:lang w:val="en-US"/>
              </w:rPr>
              <w:t>.</w:t>
            </w:r>
          </w:p>
          <w:p w14:paraId="6DA0797D" w14:textId="77777777" w:rsidR="003744FD" w:rsidRDefault="003744FD" w:rsidP="003744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r w:rsidRPr="003744FD">
              <w:rPr>
                <w:lang w:val="en-US"/>
              </w:rPr>
              <w:t xml:space="preserve">Sasson Lazovsky, G., Raz, T., &amp; Kenett, Y. N. (2025). The art of creative inquiry—from question asking to prompt engineering. </w:t>
            </w:r>
            <w:r w:rsidRPr="003744FD">
              <w:rPr>
                <w:i/>
                <w:iCs/>
                <w:lang w:val="en-US"/>
              </w:rPr>
              <w:t>The Journal of Creative Behavior</w:t>
            </w:r>
            <w:r w:rsidRPr="003744FD">
              <w:rPr>
                <w:lang w:val="en-US"/>
              </w:rPr>
              <w:t xml:space="preserve">, </w:t>
            </w:r>
            <w:r w:rsidRPr="003744FD">
              <w:rPr>
                <w:i/>
                <w:iCs/>
                <w:lang w:val="en-US"/>
              </w:rPr>
              <w:t>59</w:t>
            </w:r>
            <w:r w:rsidRPr="003744FD">
              <w:rPr>
                <w:lang w:val="en-US"/>
              </w:rPr>
              <w:t>(1), e671.</w:t>
            </w:r>
          </w:p>
          <w:p w14:paraId="6BA341D4" w14:textId="761DBB1F" w:rsidR="003744FD" w:rsidRPr="003744FD" w:rsidRDefault="003744FD" w:rsidP="003744FD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lang w:val="en-US"/>
              </w:rPr>
            </w:pPr>
            <w:r w:rsidRPr="003744FD">
              <w:rPr>
                <w:lang w:val="en-US"/>
              </w:rPr>
              <w:t xml:space="preserve">White, J., Fu, Q., Hays, S., Sandborn, M., Olea, C., Gilbert, H., ... &amp; Schmidt, D. C. (2023). A prompt pattern catalog to enhance prompt engineering with chatgpt. </w:t>
            </w:r>
            <w:r w:rsidRPr="003744FD">
              <w:rPr>
                <w:i/>
                <w:iCs/>
                <w:lang w:val="en-US"/>
              </w:rPr>
              <w:t>arXiv preprint arXiv:2302.11382</w:t>
            </w:r>
            <w:r w:rsidRPr="003744FD">
              <w:rPr>
                <w:lang w:val="en-US"/>
              </w:rPr>
              <w:t>.</w:t>
            </w:r>
          </w:p>
          <w:p w14:paraId="35D6DB71" w14:textId="0A1E2A35" w:rsidR="00C73DBC" w:rsidRDefault="007D6D73" w:rsidP="00554544">
            <w:pPr>
              <w:pStyle w:val="Bezodstpw"/>
              <w:numPr>
                <w:ilvl w:val="0"/>
                <w:numId w:val="10"/>
              </w:numPr>
              <w:rPr>
                <w:color w:val="000000" w:themeColor="text1"/>
                <w:lang w:val="en-US"/>
              </w:rPr>
            </w:pPr>
            <w:r w:rsidRPr="007D6D73">
              <w:rPr>
                <w:color w:val="000000" w:themeColor="text1"/>
                <w:lang w:val="en-US"/>
              </w:rPr>
              <w:t>The future of AI in medicine</w:t>
            </w:r>
            <w:r w:rsidRPr="007D6D73">
              <w:rPr>
                <w:color w:val="000000" w:themeColor="text1"/>
                <w:lang w:val="en-US"/>
              </w:rPr>
              <w:t xml:space="preserve"> </w:t>
            </w:r>
            <w:hyperlink r:id="rId15" w:history="1">
              <w:r w:rsidR="00554544" w:rsidRPr="00AD2950">
                <w:rPr>
                  <w:rStyle w:val="Hipercze"/>
                  <w:lang w:val="en-US"/>
                </w:rPr>
                <w:t>https://www.youtube.com/watch?v=N3wJwz97b8A</w:t>
              </w:r>
            </w:hyperlink>
          </w:p>
          <w:p w14:paraId="5CFA5826" w14:textId="4742548B" w:rsidR="00554544" w:rsidRDefault="008E7720" w:rsidP="00554544">
            <w:pPr>
              <w:pStyle w:val="Bezodstpw"/>
              <w:numPr>
                <w:ilvl w:val="0"/>
                <w:numId w:val="10"/>
              </w:numPr>
              <w:rPr>
                <w:color w:val="000000" w:themeColor="text1"/>
                <w:lang w:val="en-US"/>
              </w:rPr>
            </w:pPr>
            <w:r w:rsidRPr="008E7720">
              <w:rPr>
                <w:color w:val="000000" w:themeColor="text1"/>
                <w:lang w:val="en-US"/>
              </w:rPr>
              <w:t xml:space="preserve">How AI is Revolutionizing Medicine </w:t>
            </w:r>
            <w:hyperlink r:id="rId16" w:history="1">
              <w:r w:rsidR="00554544" w:rsidRPr="00AD2950">
                <w:rPr>
                  <w:rStyle w:val="Hipercze"/>
                  <w:lang w:val="en-US"/>
                </w:rPr>
                <w:t>https://www.youtube.com/watch?v=</w:t>
              </w:r>
              <w:r w:rsidR="00554544" w:rsidRPr="00AD2950">
                <w:rPr>
                  <w:rStyle w:val="Hipercze"/>
                  <w:lang w:val="en-US"/>
                </w:rPr>
                <w:t>F</w:t>
              </w:r>
              <w:r w:rsidR="00554544" w:rsidRPr="00AD2950">
                <w:rPr>
                  <w:rStyle w:val="Hipercze"/>
                  <w:lang w:val="en-US"/>
                </w:rPr>
                <w:t>qsvgFTQv8w</w:t>
              </w:r>
            </w:hyperlink>
            <w:r w:rsidR="00554544">
              <w:rPr>
                <w:color w:val="000000" w:themeColor="text1"/>
                <w:lang w:val="en-US"/>
              </w:rPr>
              <w:t xml:space="preserve"> </w:t>
            </w:r>
          </w:p>
          <w:p w14:paraId="10528821" w14:textId="46A5E790" w:rsidR="00474522" w:rsidRPr="003744FD" w:rsidRDefault="008E7720" w:rsidP="00554544">
            <w:pPr>
              <w:pStyle w:val="Bezodstpw"/>
              <w:numPr>
                <w:ilvl w:val="0"/>
                <w:numId w:val="10"/>
              </w:numPr>
              <w:rPr>
                <w:color w:val="000000" w:themeColor="text1"/>
                <w:lang w:val="en-US"/>
              </w:rPr>
            </w:pPr>
            <w:r w:rsidRPr="008E7720">
              <w:rPr>
                <w:color w:val="000000" w:themeColor="text1"/>
                <w:lang w:val="en-US"/>
              </w:rPr>
              <w:t xml:space="preserve">How AI is </w:t>
            </w:r>
            <w:r w:rsidR="00F56A6D">
              <w:rPr>
                <w:color w:val="000000" w:themeColor="text1"/>
                <w:lang w:val="en-US"/>
              </w:rPr>
              <w:t>T</w:t>
            </w:r>
            <w:r w:rsidRPr="008E7720">
              <w:rPr>
                <w:color w:val="000000" w:themeColor="text1"/>
                <w:lang w:val="en-US"/>
              </w:rPr>
              <w:t>ransforming Radiology</w:t>
            </w:r>
            <w:r w:rsidRPr="008E7720">
              <w:rPr>
                <w:color w:val="000000" w:themeColor="text1"/>
                <w:lang w:val="en-US"/>
              </w:rPr>
              <w:t xml:space="preserve"> </w:t>
            </w:r>
            <w:hyperlink r:id="rId17" w:history="1">
              <w:r w:rsidR="00474522" w:rsidRPr="00AD2950">
                <w:rPr>
                  <w:rStyle w:val="Hipercze"/>
                  <w:lang w:val="en-US"/>
                </w:rPr>
                <w:t>https://www.youtube.com/watch?v=3DUyzPvsMQ8</w:t>
              </w:r>
            </w:hyperlink>
            <w:r w:rsidR="00474522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002955D8" w:rsidRPr="00C01834" w14:paraId="5412C923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03725425" w14:textId="64E34C75" w:rsidR="00014630" w:rsidRPr="00014630" w:rsidRDefault="00014630" w:rsidP="009E3ED7">
            <w:pPr>
              <w:spacing w:after="0" w:line="259" w:lineRule="auto"/>
              <w:ind w:left="0" w:right="7996" w:firstLine="0"/>
              <w:rPr>
                <w:b/>
                <w:bCs/>
                <w:color w:val="auto"/>
              </w:rPr>
            </w:pPr>
            <w:r w:rsidRPr="00014630">
              <w:rPr>
                <w:b/>
                <w:bCs/>
                <w:color w:val="auto"/>
              </w:rPr>
              <w:t>Uzupełniająca</w:t>
            </w:r>
          </w:p>
        </w:tc>
      </w:tr>
      <w:tr w:rsidR="002955D8" w:rsidRPr="00C01834" w14:paraId="2B0597DD" w14:textId="77777777" w:rsidTr="002955D8">
        <w:trPr>
          <w:trHeight w:val="265"/>
        </w:trPr>
        <w:tc>
          <w:tcPr>
            <w:tcW w:w="5000" w:type="pc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47BFFACE" w14:textId="6BBCA25A" w:rsidR="00014630" w:rsidRPr="00C01834" w:rsidRDefault="00014630" w:rsidP="002955D8">
            <w:pPr>
              <w:spacing w:after="0" w:line="259" w:lineRule="auto"/>
              <w:ind w:left="0" w:right="1767" w:firstLine="0"/>
              <w:rPr>
                <w:color w:val="auto"/>
              </w:rPr>
            </w:pPr>
          </w:p>
        </w:tc>
      </w:tr>
    </w:tbl>
    <w:p w14:paraId="4742B585" w14:textId="7E4DA10D" w:rsidR="00C01834" w:rsidRPr="00E55362" w:rsidRDefault="00C01834" w:rsidP="00E55362">
      <w:pPr>
        <w:ind w:left="0" w:firstLine="0"/>
        <w:rPr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1827"/>
        <w:gridCol w:w="5812"/>
        <w:gridCol w:w="2551"/>
      </w:tblGrid>
      <w:tr w:rsidR="00CA3ACF" w:rsidRPr="00C01834" w14:paraId="20104B8B" w14:textId="77777777" w:rsidTr="00511ACE">
        <w:trPr>
          <w:trHeight w:val="385"/>
        </w:trPr>
        <w:tc>
          <w:tcPr>
            <w:tcW w:w="10190" w:type="dxa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955EA74" w14:textId="7E489DC8" w:rsidR="00CA3ACF" w:rsidRPr="00014630" w:rsidRDefault="00CA3ACF" w:rsidP="00511ACE">
            <w:pPr>
              <w:pStyle w:val="Akapitzlist"/>
              <w:numPr>
                <w:ilvl w:val="0"/>
                <w:numId w:val="1"/>
              </w:numPr>
              <w:rPr>
                <w:smallCaps/>
                <w:color w:val="auto"/>
              </w:rPr>
            </w:pPr>
            <w:r w:rsidRPr="00511ACE">
              <w:rPr>
                <w:b/>
                <w:smallCaps/>
                <w:color w:val="auto"/>
                <w:sz w:val="24"/>
              </w:rPr>
              <w:t>Sposoby weryfikacji efektów uczenia się</w:t>
            </w:r>
          </w:p>
        </w:tc>
      </w:tr>
      <w:tr w:rsidR="00A3096F" w:rsidRPr="00C01834" w14:paraId="5760A1E8" w14:textId="77777777" w:rsidTr="00CA3ACF">
        <w:trPr>
          <w:trHeight w:val="597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653A936B" w14:textId="40F20003" w:rsidR="00A3096F" w:rsidRPr="00C01834" w:rsidRDefault="00055966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A3096F" w:rsidRPr="00C01834">
              <w:rPr>
                <w:b/>
                <w:color w:val="auto"/>
              </w:rPr>
              <w:t>ymbol przedmiotowego efektu uczenia się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2893704D" w14:textId="5B984114" w:rsidR="00A3096F" w:rsidRPr="00C01834" w:rsidRDefault="00A3096F" w:rsidP="00D773DA">
            <w:pPr>
              <w:spacing w:after="0" w:line="259" w:lineRule="auto"/>
              <w:ind w:left="33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 xml:space="preserve">Sposoby weryfikacji efektu </w:t>
            </w:r>
            <w:r w:rsidR="00CA3ACF">
              <w:rPr>
                <w:b/>
                <w:color w:val="auto"/>
              </w:rPr>
              <w:t>uczenia się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14:paraId="3B481529" w14:textId="77777777" w:rsidR="00A3096F" w:rsidRPr="00C01834" w:rsidRDefault="00A3096F" w:rsidP="00D773DA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  <w:r w:rsidRPr="00C01834">
              <w:rPr>
                <w:b/>
                <w:color w:val="auto"/>
              </w:rPr>
              <w:t>Kryterium zaliczenia</w:t>
            </w:r>
          </w:p>
        </w:tc>
      </w:tr>
      <w:tr w:rsidR="00A3096F" w:rsidRPr="00C01834" w14:paraId="387B7A57" w14:textId="77777777" w:rsidTr="00511ACE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31301D38" w14:textId="77777777" w:rsidR="00A3096F" w:rsidRPr="00AD2F54" w:rsidRDefault="00A3096F" w:rsidP="00511ACE">
            <w:pPr>
              <w:spacing w:after="0" w:line="259" w:lineRule="auto"/>
              <w:ind w:left="0" w:firstLine="0"/>
              <w:jc w:val="center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Np. A.W1, A.U1, K1</w:t>
            </w: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5F745027" w14:textId="00EDFBD3" w:rsidR="00A3096F" w:rsidRPr="00AD2F54" w:rsidRDefault="00A3096F" w:rsidP="00511ACE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Pole definiuje metody wykorzystywane do oceniania studentów, np. kartkówka, kolokwium, raport z ćwiczeń itp.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C33C0E3" w14:textId="6B77F67A" w:rsidR="00A3096F" w:rsidRPr="00AD2F54" w:rsidRDefault="00A3096F" w:rsidP="00511ACE">
            <w:pPr>
              <w:spacing w:after="0" w:line="259" w:lineRule="auto"/>
              <w:ind w:left="0" w:firstLine="0"/>
              <w:rPr>
                <w:i/>
                <w:iCs/>
                <w:color w:val="auto"/>
              </w:rPr>
            </w:pPr>
            <w:r w:rsidRPr="00AD2F54">
              <w:rPr>
                <w:i/>
                <w:iCs/>
                <w:color w:val="auto"/>
                <w:sz w:val="16"/>
                <w:szCs w:val="20"/>
              </w:rPr>
              <w:t>Np. próg zaliczeniowy</w:t>
            </w:r>
          </w:p>
        </w:tc>
      </w:tr>
      <w:tr w:rsidR="00A3096F" w:rsidRPr="00C01834" w14:paraId="059BC205" w14:textId="77777777" w:rsidTr="00CA3ACF">
        <w:trPr>
          <w:trHeight w:val="381"/>
        </w:trPr>
        <w:tc>
          <w:tcPr>
            <w:tcW w:w="182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00F6B3BA" w14:textId="77777777" w:rsidR="00E4703C" w:rsidRPr="00C01834" w:rsidRDefault="00E4703C" w:rsidP="00E4703C">
            <w:pPr>
              <w:spacing w:after="0" w:line="259" w:lineRule="auto"/>
              <w:ind w:left="0" w:firstLine="0"/>
              <w:rPr>
                <w:color w:val="auto"/>
              </w:rPr>
            </w:pPr>
          </w:p>
          <w:p w14:paraId="1359A716" w14:textId="77777777" w:rsidR="00E4703C" w:rsidRDefault="00E4703C" w:rsidP="00E4703C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E2.W.13</w:t>
            </w:r>
          </w:p>
          <w:p w14:paraId="716BB987" w14:textId="77777777" w:rsidR="00E4703C" w:rsidRDefault="00E4703C" w:rsidP="00E4703C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lastRenderedPageBreak/>
              <w:t>E2.U.02</w:t>
            </w:r>
          </w:p>
          <w:p w14:paraId="4CB960C6" w14:textId="77777777" w:rsidR="00E4703C" w:rsidRPr="00C01834" w:rsidRDefault="00E4703C" w:rsidP="00E4703C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E2.U.06</w:t>
            </w:r>
          </w:p>
          <w:p w14:paraId="74112615" w14:textId="0EE4F77A" w:rsidR="00A3096F" w:rsidRPr="00C01834" w:rsidRDefault="00A3096F" w:rsidP="002955D8">
            <w:pPr>
              <w:spacing w:after="0" w:line="259" w:lineRule="auto"/>
              <w:ind w:left="0" w:firstLine="0"/>
              <w:jc w:val="center"/>
              <w:rPr>
                <w:color w:val="auto"/>
              </w:rPr>
            </w:pPr>
          </w:p>
        </w:tc>
        <w:tc>
          <w:tcPr>
            <w:tcW w:w="5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7777E1DE" w14:textId="62641B7C" w:rsidR="00A3096F" w:rsidRPr="00C01834" w:rsidRDefault="00E4703C" w:rsidP="00D773DA">
            <w:pPr>
              <w:spacing w:after="0"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lastRenderedPageBreak/>
              <w:t>Elektroniczne zaliczenie testowe</w:t>
            </w:r>
          </w:p>
        </w:tc>
        <w:tc>
          <w:tcPr>
            <w:tcW w:w="255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</w:tcPr>
          <w:p w14:paraId="678B0AD3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Test w formie elektronicznej,</w:t>
            </w:r>
          </w:p>
          <w:p w14:paraId="5C2B1E50" w14:textId="705417FD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 xml:space="preserve">składający się z </w:t>
            </w:r>
            <w:r w:rsidR="00D35B9F">
              <w:rPr>
                <w:color w:val="auto"/>
              </w:rPr>
              <w:t>50</w:t>
            </w:r>
            <w:r w:rsidRPr="00A957E3">
              <w:rPr>
                <w:color w:val="auto"/>
              </w:rPr>
              <w:t xml:space="preserve"> pytań,</w:t>
            </w:r>
          </w:p>
          <w:p w14:paraId="7D36BED9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lastRenderedPageBreak/>
              <w:t>jednokrotnego wyboru</w:t>
            </w:r>
          </w:p>
          <w:p w14:paraId="3844783A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&lt;51% – 2,0 (ndst)</w:t>
            </w:r>
          </w:p>
          <w:p w14:paraId="35C52A67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51-60% - 3,0 (dost)</w:t>
            </w:r>
          </w:p>
          <w:p w14:paraId="67F88962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61-70% - 3,5 (ddb)</w:t>
            </w:r>
          </w:p>
          <w:p w14:paraId="44BB57E2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71-80% - 4,0 (db)</w:t>
            </w:r>
          </w:p>
          <w:p w14:paraId="6227466D" w14:textId="77777777" w:rsidR="00A957E3" w:rsidRPr="00A957E3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81-90% - 4,5 (pdb)</w:t>
            </w:r>
          </w:p>
          <w:p w14:paraId="4D20FD21" w14:textId="15D0855C" w:rsidR="00A3096F" w:rsidRPr="00C01834" w:rsidRDefault="00A957E3" w:rsidP="00A957E3">
            <w:pPr>
              <w:spacing w:after="0" w:line="259" w:lineRule="auto"/>
              <w:ind w:left="0" w:firstLine="0"/>
              <w:rPr>
                <w:color w:val="auto"/>
              </w:rPr>
            </w:pPr>
            <w:r w:rsidRPr="00A957E3">
              <w:rPr>
                <w:color w:val="auto"/>
              </w:rPr>
              <w:t>&gt;90% - 5,0 (bdb</w:t>
            </w:r>
            <w:r>
              <w:rPr>
                <w:color w:val="auto"/>
              </w:rPr>
              <w:t>)</w:t>
            </w:r>
          </w:p>
        </w:tc>
      </w:tr>
    </w:tbl>
    <w:p w14:paraId="436EE3ED" w14:textId="77777777" w:rsidR="00C01834" w:rsidRPr="00E55362" w:rsidRDefault="00C01834" w:rsidP="00055966">
      <w:pPr>
        <w:spacing w:after="0" w:line="264" w:lineRule="auto"/>
        <w:ind w:left="0" w:firstLine="0"/>
        <w:rPr>
          <w:b/>
          <w:color w:val="auto"/>
          <w:sz w:val="24"/>
          <w:szCs w:val="24"/>
        </w:rPr>
      </w:pPr>
    </w:p>
    <w:tbl>
      <w:tblPr>
        <w:tblStyle w:val="TableGrid"/>
        <w:tblW w:w="10190" w:type="dxa"/>
        <w:tblInd w:w="8" w:type="dxa"/>
        <w:tblCellMar>
          <w:top w:w="116" w:type="dxa"/>
          <w:left w:w="83" w:type="dxa"/>
          <w:right w:w="87" w:type="dxa"/>
        </w:tblCellMar>
        <w:tblLook w:val="04A0" w:firstRow="1" w:lastRow="0" w:firstColumn="1" w:lastColumn="0" w:noHBand="0" w:noVBand="1"/>
      </w:tblPr>
      <w:tblGrid>
        <w:gridCol w:w="10190"/>
      </w:tblGrid>
      <w:tr w:rsidR="00014630" w:rsidRPr="00014630" w14:paraId="473F6E7C" w14:textId="77777777" w:rsidTr="00511ACE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vAlign w:val="center"/>
          </w:tcPr>
          <w:p w14:paraId="4BBDB116" w14:textId="6F419667" w:rsidR="00014630" w:rsidRPr="00E55362" w:rsidRDefault="00E55362" w:rsidP="00511ACE">
            <w:pPr>
              <w:pStyle w:val="Akapitzlist"/>
              <w:numPr>
                <w:ilvl w:val="0"/>
                <w:numId w:val="1"/>
              </w:numPr>
              <w:rPr>
                <w:i/>
                <w:iCs/>
                <w:color w:val="auto"/>
                <w:sz w:val="16"/>
                <w:szCs w:val="16"/>
              </w:rPr>
            </w:pPr>
            <w:r w:rsidRPr="00E55362">
              <w:rPr>
                <w:b/>
                <w:smallCaps/>
                <w:color w:val="auto"/>
                <w:sz w:val="24"/>
              </w:rPr>
              <w:t xml:space="preserve">Informacje dodatkowe </w:t>
            </w:r>
          </w:p>
        </w:tc>
      </w:tr>
      <w:tr w:rsidR="00014630" w:rsidRPr="00C01834" w14:paraId="7863F973" w14:textId="77777777" w:rsidTr="00E55362">
        <w:trPr>
          <w:trHeight w:val="265"/>
        </w:trPr>
        <w:tc>
          <w:tcPr>
            <w:tcW w:w="1019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 w:themeFill="background1" w:themeFillShade="F2"/>
            <w:vAlign w:val="center"/>
          </w:tcPr>
          <w:p w14:paraId="218C3655" w14:textId="30C0DA42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1. </w:t>
            </w:r>
            <w:r w:rsidRPr="00A957E3">
              <w:rPr>
                <w:bCs/>
                <w:color w:val="auto"/>
              </w:rPr>
              <w:t>Osoba odpowiedzialna za prowadzenie dydaktyki w roku akademickim 202</w:t>
            </w:r>
            <w:r w:rsidR="00C73DBC">
              <w:rPr>
                <w:bCs/>
                <w:color w:val="auto"/>
              </w:rPr>
              <w:t>5</w:t>
            </w:r>
            <w:r w:rsidRPr="00A957E3">
              <w:rPr>
                <w:bCs/>
                <w:color w:val="auto"/>
              </w:rPr>
              <w:t>/202</w:t>
            </w:r>
            <w:r w:rsidR="00C73DBC">
              <w:rPr>
                <w:bCs/>
                <w:color w:val="auto"/>
              </w:rPr>
              <w:t>6</w:t>
            </w:r>
            <w:r w:rsidRPr="00A957E3">
              <w:rPr>
                <w:bCs/>
                <w:color w:val="auto"/>
              </w:rPr>
              <w:t xml:space="preserve">: </w:t>
            </w:r>
            <w:r w:rsidR="00E4703C">
              <w:rPr>
                <w:bCs/>
                <w:color w:val="auto"/>
              </w:rPr>
              <w:t>prof. dr hab. n. med. i n. o zdr. Joanna Gotlib-Małkowska</w:t>
            </w:r>
            <w:r>
              <w:rPr>
                <w:bCs/>
                <w:color w:val="auto"/>
              </w:rPr>
              <w:t xml:space="preserve"> </w:t>
            </w:r>
          </w:p>
          <w:p w14:paraId="1B0D256F" w14:textId="77777777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2. Zajęcia odbywają się według planu podanego przez Dziekanat</w:t>
            </w:r>
          </w:p>
          <w:p w14:paraId="6261E2E5" w14:textId="206E4818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3. Obecność na zajęciach jest obowiązkowa</w:t>
            </w:r>
            <w:r w:rsidR="00176FF4">
              <w:rPr>
                <w:bCs/>
                <w:color w:val="auto"/>
              </w:rPr>
              <w:t xml:space="preserve"> – dopuszczalna jest jedna nieobecność podczas zajęć</w:t>
            </w:r>
            <w:r w:rsidRPr="00A957E3">
              <w:rPr>
                <w:bCs/>
                <w:color w:val="auto"/>
              </w:rPr>
              <w:t xml:space="preserve">. W razie </w:t>
            </w:r>
            <w:r w:rsidR="00176FF4">
              <w:rPr>
                <w:bCs/>
                <w:color w:val="auto"/>
              </w:rPr>
              <w:t xml:space="preserve">więcej niż jednej </w:t>
            </w:r>
            <w:r w:rsidRPr="00A957E3">
              <w:rPr>
                <w:bCs/>
                <w:color w:val="auto"/>
              </w:rPr>
              <w:t xml:space="preserve">nieobecności należy ustalić formę odrobienia </w:t>
            </w:r>
            <w:r w:rsidR="00176FF4">
              <w:rPr>
                <w:bCs/>
                <w:color w:val="auto"/>
              </w:rPr>
              <w:t xml:space="preserve">seminariów </w:t>
            </w:r>
            <w:r w:rsidRPr="00A957E3">
              <w:rPr>
                <w:bCs/>
                <w:color w:val="auto"/>
              </w:rPr>
              <w:t>z osobą prowadzącą zajęcia.</w:t>
            </w:r>
          </w:p>
          <w:p w14:paraId="604A67A5" w14:textId="77777777" w:rsidR="00A957E3" w:rsidRPr="00A957E3" w:rsidRDefault="00A957E3" w:rsidP="00A957E3">
            <w:pPr>
              <w:spacing w:after="0" w:line="259" w:lineRule="auto"/>
              <w:ind w:left="0" w:right="235" w:firstLine="0"/>
              <w:rPr>
                <w:bCs/>
                <w:color w:val="auto"/>
              </w:rPr>
            </w:pPr>
            <w:r w:rsidRPr="00A957E3">
              <w:rPr>
                <w:bCs/>
                <w:color w:val="auto"/>
              </w:rPr>
              <w:t>4. Student zobowiązany jest do punktualnego stawania się na zajęcia.</w:t>
            </w:r>
          </w:p>
          <w:p w14:paraId="677E6E8D" w14:textId="217719D5" w:rsidR="00014630" w:rsidRPr="00C01834" w:rsidRDefault="00A957E3" w:rsidP="00A957E3">
            <w:pPr>
              <w:spacing w:after="0" w:line="259" w:lineRule="auto"/>
              <w:ind w:left="0" w:right="235" w:firstLine="0"/>
              <w:rPr>
                <w:b/>
                <w:color w:val="auto"/>
              </w:rPr>
            </w:pPr>
            <w:r w:rsidRPr="00A957E3">
              <w:rPr>
                <w:bCs/>
                <w:color w:val="auto"/>
              </w:rPr>
              <w:t>5. Student ma prawo do trzykrotnego podejścia do zaliczenia przedmiotu</w:t>
            </w:r>
          </w:p>
        </w:tc>
      </w:tr>
    </w:tbl>
    <w:p w14:paraId="71846F02" w14:textId="77777777" w:rsidR="00511ACE" w:rsidRPr="00F04776" w:rsidRDefault="00511ACE" w:rsidP="007F19BC">
      <w:pPr>
        <w:spacing w:before="120" w:after="0" w:line="259" w:lineRule="auto"/>
        <w:ind w:left="0" w:firstLine="0"/>
        <w:rPr>
          <w:color w:val="auto"/>
          <w:sz w:val="16"/>
          <w:szCs w:val="16"/>
        </w:rPr>
      </w:pPr>
      <w:r w:rsidRPr="00F04776">
        <w:rPr>
          <w:color w:val="auto"/>
          <w:sz w:val="16"/>
          <w:szCs w:val="16"/>
        </w:rPr>
        <w:t>Prawa majątkowe, w tym autorskie, do sylabusa przysługują WUM. Sylabus może być wykorzystywany dla celów związanych z kształceniem na studiach odbywanych w WUM. Korzystanie z sylabusa w innych celach wymaga zgody WUM.</w:t>
      </w:r>
      <w:r w:rsidRPr="00F04776">
        <w:rPr>
          <w:noProof/>
          <w:color w:val="auto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A38974" wp14:editId="1CDCE602">
                <wp:simplePos x="0" y="0"/>
                <wp:positionH relativeFrom="column">
                  <wp:posOffset>3175</wp:posOffset>
                </wp:positionH>
                <wp:positionV relativeFrom="paragraph">
                  <wp:posOffset>8452485</wp:posOffset>
                </wp:positionV>
                <wp:extent cx="6572250" cy="1404620"/>
                <wp:effectExtent l="0" t="0" r="19050" b="2413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791B" w14:textId="77777777" w:rsidR="00511ACE" w:rsidRPr="008E78CF" w:rsidRDefault="00511ACE" w:rsidP="00511AC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E78CF">
                              <w:rPr>
                                <w:b/>
                                <w:bCs/>
                              </w:rPr>
                              <w:t>UWAGA</w:t>
                            </w:r>
                          </w:p>
                          <w:p w14:paraId="7C700BDF" w14:textId="77777777" w:rsidR="00511ACE" w:rsidRDefault="00511ACE" w:rsidP="00511ACE">
                            <w:pPr>
                              <w:jc w:val="center"/>
                            </w:pPr>
                            <w:r>
                              <w:t xml:space="preserve">Końcowe 10 minut ostatnich zajęć w bloku/semestrze/roku należy przeznaczyć na wypełnienie przez studentów </w:t>
                            </w:r>
                            <w:r>
                              <w:br/>
                              <w:t>Ankiety Oceny Zajęć i Nauczycieli Akademickich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38974" id="_x0000_s1027" type="#_x0000_t202" style="position:absolute;margin-left:.25pt;margin-top:665.55pt;width:51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">
                <v:textbox style="mso-fit-shape-to-text:t">
                  <w:txbxContent>
                    <w:p w14:paraId="7E61791B" w14:textId="77777777" w:rsidR="00511ACE" w:rsidRPr="008E78CF" w:rsidRDefault="00511ACE" w:rsidP="00511AC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E78CF">
                        <w:rPr>
                          <w:b/>
                          <w:bCs/>
                        </w:rPr>
                        <w:t>UWAGA</w:t>
                      </w:r>
                    </w:p>
                    <w:p w14:paraId="7C700BDF" w14:textId="77777777" w:rsidR="00511ACE" w:rsidRDefault="00511ACE" w:rsidP="00511ACE">
                      <w:pPr>
                        <w:jc w:val="center"/>
                      </w:pPr>
                      <w:r>
                        <w:t xml:space="preserve">Końcowe 10 minut ostatnich zajęć w bloku/semestrze/roku należy przeznaczyć na wypełnienie przez studentów </w:t>
                      </w:r>
                      <w:r>
                        <w:br/>
                        <w:t>Ankiety Oceny Zajęć i Nauczycieli Akademickich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BD0B25" w14:textId="77777777" w:rsidR="00511ACE" w:rsidRPr="00F04776" w:rsidRDefault="00511ACE" w:rsidP="00511ACE">
      <w:pPr>
        <w:spacing w:after="160" w:line="259" w:lineRule="auto"/>
        <w:ind w:left="0" w:firstLine="0"/>
        <w:jc w:val="center"/>
        <w:rPr>
          <w:color w:val="auto"/>
          <w:sz w:val="16"/>
          <w:szCs w:val="16"/>
        </w:rPr>
      </w:pPr>
    </w:p>
    <w:sectPr w:rsidR="00511ACE" w:rsidRPr="00F04776" w:rsidSect="00A973C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1" w:bottom="1418" w:left="851" w:header="709" w:footer="8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3E834" w14:textId="77777777" w:rsidR="007478F0" w:rsidRDefault="007478F0">
      <w:pPr>
        <w:spacing w:after="0" w:line="240" w:lineRule="auto"/>
      </w:pPr>
      <w:r>
        <w:separator/>
      </w:r>
    </w:p>
  </w:endnote>
  <w:endnote w:type="continuationSeparator" w:id="0">
    <w:p w14:paraId="1A29CB6C" w14:textId="77777777" w:rsidR="007478F0" w:rsidRDefault="00747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A245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EC44D61" wp14:editId="3BD959C1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56" name="Group 362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57" name="Shape 3625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56" style="width:510.24pt;height:0.75pt;position:absolute;mso-position-horizontal-relative:page;mso-position-horizontal:absolute;margin-left:42.52pt;mso-position-vertical-relative:page;margin-top:787.323pt;" coordsize="64800,95">
              <v:shape id="Shape 3625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BFB2" w14:textId="794921CE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C5520F3" wp14:editId="08DDC9F8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46" name="Group 362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47" name="Shape 3624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46" style="width:510.24pt;height:0.75pt;position:absolute;mso-position-horizontal-relative:page;mso-position-horizontal:absolute;margin-left:42.52pt;mso-position-vertical-relative:page;margin-top:787.323pt;" coordsize="64800,95">
              <v:shape id="Shape 3624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242454" w:rsidRPr="00242454">
      <w:rPr>
        <w:noProof/>
        <w:sz w:val="22"/>
      </w:rPr>
      <w:t>4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 w:rsidR="00242454" w:rsidRPr="00242454">
        <w:rPr>
          <w:noProof/>
          <w:sz w:val="22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C333" w14:textId="77777777" w:rsidR="00181CEC" w:rsidRDefault="00181CEC">
    <w:pPr>
      <w:spacing w:after="0" w:line="259" w:lineRule="auto"/>
      <w:ind w:left="0" w:right="-23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F99F1B5" wp14:editId="0FDA7297">
              <wp:simplePos x="0" y="0"/>
              <wp:positionH relativeFrom="page">
                <wp:posOffset>540004</wp:posOffset>
              </wp:positionH>
              <wp:positionV relativeFrom="page">
                <wp:posOffset>9998996</wp:posOffset>
              </wp:positionV>
              <wp:extent cx="6480049" cy="9525"/>
              <wp:effectExtent l="0" t="0" r="0" b="0"/>
              <wp:wrapSquare wrapText="bothSides"/>
              <wp:docPr id="36236" name="Group 3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49" cy="9525"/>
                        <a:chOff x="0" y="0"/>
                        <a:chExt cx="6480049" cy="9525"/>
                      </a:xfrm>
                    </wpg:grpSpPr>
                    <wps:wsp>
                      <wps:cNvPr id="36237" name="Shape 36237"/>
                      <wps:cNvSpPr/>
                      <wps:spPr>
                        <a:xfrm>
                          <a:off x="0" y="0"/>
                          <a:ext cx="648004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049">
                              <a:moveTo>
                                <a:pt x="648004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AAAAA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6236" style="width:510.24pt;height:0.75pt;position:absolute;mso-position-horizontal-relative:page;mso-position-horizontal:absolute;margin-left:42.52pt;mso-position-vertical-relative:page;margin-top:787.323pt;" coordsize="64800,95">
              <v:shape id="Shape 36237" style="position:absolute;width:64800;height:0;left:0;top:0;" coordsize="6480049,0" path="m6480049,0l0,0">
                <v:stroke weight="0.75pt" endcap="flat" joinstyle="miter" miterlimit="10" on="true" color="#aaaaaa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/ </w:t>
    </w:r>
    <w:fldSimple w:instr=" NUMPAGES   \* MERGEFORMAT ">
      <w:r>
        <w:rPr>
          <w:sz w:val="22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0E6B" w14:textId="77777777" w:rsidR="007478F0" w:rsidRDefault="007478F0">
      <w:pPr>
        <w:spacing w:after="0" w:line="240" w:lineRule="auto"/>
      </w:pPr>
      <w:r>
        <w:separator/>
      </w:r>
    </w:p>
  </w:footnote>
  <w:footnote w:type="continuationSeparator" w:id="0">
    <w:p w14:paraId="46C60CB0" w14:textId="77777777" w:rsidR="007478F0" w:rsidRDefault="00747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50AE" w14:textId="77777777" w:rsidR="00FA43DA" w:rsidRDefault="00FA43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7E533" w14:textId="7CFE4144" w:rsidR="00C777D8" w:rsidRPr="00C777D8" w:rsidRDefault="00C777D8" w:rsidP="00C777D8">
    <w:pPr>
      <w:tabs>
        <w:tab w:val="center" w:pos="4536"/>
        <w:tab w:val="right" w:pos="9072"/>
      </w:tabs>
      <w:spacing w:before="120" w:after="120" w:line="360" w:lineRule="auto"/>
      <w:ind w:left="0" w:firstLine="0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bookmarkStart w:id="2" w:name="_Hlk151379110"/>
    <w:bookmarkStart w:id="3" w:name="_Hlk151379111"/>
    <w:r w:rsidRPr="00C777D8">
      <w:rPr>
        <w:rFonts w:ascii="Arial" w:eastAsia="Times New Roman" w:hAnsi="Arial" w:cs="Arial"/>
        <w:b/>
        <w:bCs/>
        <w:i/>
        <w:color w:val="auto"/>
        <w:sz w:val="16"/>
        <w:szCs w:val="24"/>
      </w:rPr>
      <w:t>Załącznik nr 4</w:t>
    </w:r>
    <w:r>
      <w:rPr>
        <w:rFonts w:ascii="Arial" w:eastAsia="Times New Roman" w:hAnsi="Arial" w:cs="Arial"/>
        <w:b/>
        <w:bCs/>
        <w:i/>
        <w:color w:val="auto"/>
        <w:sz w:val="16"/>
        <w:szCs w:val="24"/>
      </w:rPr>
      <w:t>B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4"/>
      </w:rPr>
      <w:t xml:space="preserve"> do Procedury </w:t>
    </w:r>
    <w:bookmarkEnd w:id="2"/>
    <w:bookmarkEnd w:id="3"/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opracowywania i okresowego przeglądu programów studiów </w:t>
    </w:r>
  </w:p>
  <w:p w14:paraId="5800A241" w14:textId="2D659658" w:rsidR="00C777D8" w:rsidRPr="00C777D8" w:rsidRDefault="00C777D8" w:rsidP="00C777D8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b/>
        <w:bCs/>
        <w:i/>
        <w:color w:val="auto"/>
        <w:sz w:val="16"/>
        <w:szCs w:val="20"/>
      </w:rPr>
    </w:pP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(stanowiącej załącznik do </w:t>
    </w:r>
    <w:r w:rsidR="003F6C10">
      <w:rPr>
        <w:rFonts w:ascii="Arial" w:eastAsia="Times New Roman" w:hAnsi="Arial" w:cs="Arial"/>
        <w:b/>
        <w:bCs/>
        <w:i/>
        <w:color w:val="auto"/>
        <w:sz w:val="16"/>
        <w:szCs w:val="20"/>
      </w:rPr>
      <w:t>z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arządzenia nr </w:t>
    </w:r>
    <w:r w:rsidR="00520944">
      <w:rPr>
        <w:rFonts w:ascii="Arial" w:eastAsia="Times New Roman" w:hAnsi="Arial" w:cs="Arial"/>
        <w:b/>
        <w:bCs/>
        <w:i/>
        <w:color w:val="auto"/>
        <w:sz w:val="16"/>
        <w:szCs w:val="20"/>
      </w:rPr>
      <w:t>68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/2024 Rektora WUM z dnia </w:t>
    </w:r>
    <w:r w:rsidR="00520944">
      <w:rPr>
        <w:rFonts w:ascii="Arial" w:eastAsia="Times New Roman" w:hAnsi="Arial" w:cs="Arial"/>
        <w:b/>
        <w:bCs/>
        <w:i/>
        <w:color w:val="auto"/>
        <w:sz w:val="16"/>
        <w:szCs w:val="20"/>
      </w:rPr>
      <w:t>18</w:t>
    </w:r>
    <w:r w:rsidR="00FA43DA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 </w:t>
    </w:r>
    <w:r w:rsidR="003F6C10">
      <w:rPr>
        <w:rFonts w:ascii="Arial" w:eastAsia="Times New Roman" w:hAnsi="Arial" w:cs="Arial"/>
        <w:b/>
        <w:bCs/>
        <w:i/>
        <w:color w:val="auto"/>
        <w:sz w:val="16"/>
        <w:szCs w:val="20"/>
      </w:rPr>
      <w:t>kwietnia</w:t>
    </w:r>
    <w:r w:rsidR="00FA43DA">
      <w:rPr>
        <w:rFonts w:ascii="Arial" w:eastAsia="Times New Roman" w:hAnsi="Arial" w:cs="Arial"/>
        <w:b/>
        <w:bCs/>
        <w:i/>
        <w:color w:val="auto"/>
        <w:sz w:val="16"/>
        <w:szCs w:val="20"/>
      </w:rPr>
      <w:t xml:space="preserve"> </w:t>
    </w:r>
    <w:r w:rsidRPr="00C777D8">
      <w:rPr>
        <w:rFonts w:ascii="Arial" w:eastAsia="Times New Roman" w:hAnsi="Arial" w:cs="Arial"/>
        <w:b/>
        <w:bCs/>
        <w:i/>
        <w:color w:val="auto"/>
        <w:sz w:val="16"/>
        <w:szCs w:val="20"/>
      </w:rPr>
      <w:t>2024 r.)</w:t>
    </w:r>
  </w:p>
  <w:p w14:paraId="4D110B50" w14:textId="77777777" w:rsidR="00C777D8" w:rsidRDefault="00C777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A1D9" w14:textId="77777777" w:rsidR="00FA43DA" w:rsidRDefault="00FA43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775"/>
    <w:multiLevelType w:val="hybridMultilevel"/>
    <w:tmpl w:val="085E8352"/>
    <w:lvl w:ilvl="0" w:tplc="477850C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47963"/>
    <w:multiLevelType w:val="hybridMultilevel"/>
    <w:tmpl w:val="04547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B3BEE"/>
    <w:multiLevelType w:val="hybridMultilevel"/>
    <w:tmpl w:val="B596E2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D9364E"/>
    <w:multiLevelType w:val="hybridMultilevel"/>
    <w:tmpl w:val="1C18108A"/>
    <w:lvl w:ilvl="0" w:tplc="F050C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B435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2E3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BC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4EA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048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202A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0087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12E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AE62250"/>
    <w:multiLevelType w:val="hybridMultilevel"/>
    <w:tmpl w:val="69206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E0472"/>
    <w:multiLevelType w:val="hybridMultilevel"/>
    <w:tmpl w:val="68DE7DA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0910526"/>
    <w:multiLevelType w:val="hybridMultilevel"/>
    <w:tmpl w:val="59684494"/>
    <w:lvl w:ilvl="0" w:tplc="4BC66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5CF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56E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FAC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DA33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AE8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46A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D69C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A675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650F03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6C48"/>
    <w:multiLevelType w:val="hybridMultilevel"/>
    <w:tmpl w:val="B4468334"/>
    <w:lvl w:ilvl="0" w:tplc="8648F38A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704D71"/>
    <w:multiLevelType w:val="hybridMultilevel"/>
    <w:tmpl w:val="7DA0CD66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0" w15:restartNumberingAfterBreak="0">
    <w:nsid w:val="38E025E7"/>
    <w:multiLevelType w:val="hybridMultilevel"/>
    <w:tmpl w:val="B0320E54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1" w15:restartNumberingAfterBreak="0">
    <w:nsid w:val="4B8D25DB"/>
    <w:multiLevelType w:val="hybridMultilevel"/>
    <w:tmpl w:val="BC860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B304C"/>
    <w:multiLevelType w:val="hybridMultilevel"/>
    <w:tmpl w:val="445AB490"/>
    <w:lvl w:ilvl="0" w:tplc="0415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3" w15:restartNumberingAfterBreak="0">
    <w:nsid w:val="507B4737"/>
    <w:multiLevelType w:val="hybridMultilevel"/>
    <w:tmpl w:val="C5C25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C2DEB"/>
    <w:multiLevelType w:val="hybridMultilevel"/>
    <w:tmpl w:val="AC7ECC84"/>
    <w:lvl w:ilvl="0" w:tplc="0415000F">
      <w:start w:val="1"/>
      <w:numFmt w:val="decimal"/>
      <w:lvlText w:val="%1."/>
      <w:lvlJc w:val="left"/>
      <w:pPr>
        <w:ind w:left="-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3240" w:hanging="360"/>
      </w:pPr>
    </w:lvl>
    <w:lvl w:ilvl="2" w:tplc="0415001B" w:tentative="1">
      <w:start w:val="1"/>
      <w:numFmt w:val="lowerRoman"/>
      <w:lvlText w:val="%3."/>
      <w:lvlJc w:val="right"/>
      <w:pPr>
        <w:ind w:left="-2520" w:hanging="180"/>
      </w:pPr>
    </w:lvl>
    <w:lvl w:ilvl="3" w:tplc="0415000F" w:tentative="1">
      <w:start w:val="1"/>
      <w:numFmt w:val="decimal"/>
      <w:lvlText w:val="%4."/>
      <w:lvlJc w:val="left"/>
      <w:pPr>
        <w:ind w:left="-1800" w:hanging="360"/>
      </w:pPr>
    </w:lvl>
    <w:lvl w:ilvl="4" w:tplc="04150019" w:tentative="1">
      <w:start w:val="1"/>
      <w:numFmt w:val="lowerLetter"/>
      <w:lvlText w:val="%5."/>
      <w:lvlJc w:val="left"/>
      <w:pPr>
        <w:ind w:left="-1080" w:hanging="360"/>
      </w:pPr>
    </w:lvl>
    <w:lvl w:ilvl="5" w:tplc="0415001B" w:tentative="1">
      <w:start w:val="1"/>
      <w:numFmt w:val="lowerRoman"/>
      <w:lvlText w:val="%6."/>
      <w:lvlJc w:val="right"/>
      <w:pPr>
        <w:ind w:left="-360" w:hanging="180"/>
      </w:pPr>
    </w:lvl>
    <w:lvl w:ilvl="6" w:tplc="0415000F" w:tentative="1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1080" w:hanging="360"/>
      </w:pPr>
    </w:lvl>
    <w:lvl w:ilvl="8" w:tplc="0415001B" w:tentative="1">
      <w:start w:val="1"/>
      <w:numFmt w:val="lowerRoman"/>
      <w:lvlText w:val="%9."/>
      <w:lvlJc w:val="right"/>
      <w:pPr>
        <w:ind w:left="1800" w:hanging="180"/>
      </w:pPr>
    </w:lvl>
  </w:abstractNum>
  <w:abstractNum w:abstractNumId="15" w15:restartNumberingAfterBreak="0">
    <w:nsid w:val="52B77EC9"/>
    <w:multiLevelType w:val="hybridMultilevel"/>
    <w:tmpl w:val="1BAAC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F288C"/>
    <w:multiLevelType w:val="hybridMultilevel"/>
    <w:tmpl w:val="73EA71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87C1AB4"/>
    <w:multiLevelType w:val="hybridMultilevel"/>
    <w:tmpl w:val="319452FE"/>
    <w:lvl w:ilvl="0" w:tplc="479E0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2A7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F04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A0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DAD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FE9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F85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300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EC4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FBA779F"/>
    <w:multiLevelType w:val="hybridMultilevel"/>
    <w:tmpl w:val="DEEE0C2C"/>
    <w:lvl w:ilvl="0" w:tplc="6248C0C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87C13"/>
    <w:multiLevelType w:val="hybridMultilevel"/>
    <w:tmpl w:val="732CC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467C0"/>
    <w:multiLevelType w:val="hybridMultilevel"/>
    <w:tmpl w:val="5F943EAC"/>
    <w:lvl w:ilvl="0" w:tplc="B0F645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A66E92"/>
    <w:multiLevelType w:val="hybridMultilevel"/>
    <w:tmpl w:val="497EF548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2" w15:restartNumberingAfterBreak="0">
    <w:nsid w:val="7D742D34"/>
    <w:multiLevelType w:val="hybridMultilevel"/>
    <w:tmpl w:val="A7C23120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 w16cid:durableId="1510022229">
    <w:abstractNumId w:val="20"/>
  </w:num>
  <w:num w:numId="2" w16cid:durableId="2100372229">
    <w:abstractNumId w:val="18"/>
  </w:num>
  <w:num w:numId="3" w16cid:durableId="1896159994">
    <w:abstractNumId w:val="7"/>
  </w:num>
  <w:num w:numId="4" w16cid:durableId="77410665">
    <w:abstractNumId w:val="19"/>
  </w:num>
  <w:num w:numId="5" w16cid:durableId="493766673">
    <w:abstractNumId w:val="1"/>
  </w:num>
  <w:num w:numId="6" w16cid:durableId="632717048">
    <w:abstractNumId w:val="8"/>
  </w:num>
  <w:num w:numId="7" w16cid:durableId="750352038">
    <w:abstractNumId w:val="3"/>
  </w:num>
  <w:num w:numId="8" w16cid:durableId="1946645943">
    <w:abstractNumId w:val="6"/>
  </w:num>
  <w:num w:numId="9" w16cid:durableId="76904736">
    <w:abstractNumId w:val="17"/>
  </w:num>
  <w:num w:numId="10" w16cid:durableId="611860417">
    <w:abstractNumId w:val="0"/>
  </w:num>
  <w:num w:numId="11" w16cid:durableId="593174436">
    <w:abstractNumId w:val="15"/>
  </w:num>
  <w:num w:numId="12" w16cid:durableId="1441027373">
    <w:abstractNumId w:val="14"/>
  </w:num>
  <w:num w:numId="13" w16cid:durableId="722564656">
    <w:abstractNumId w:val="16"/>
  </w:num>
  <w:num w:numId="14" w16cid:durableId="1371569918">
    <w:abstractNumId w:val="4"/>
  </w:num>
  <w:num w:numId="15" w16cid:durableId="799960428">
    <w:abstractNumId w:val="2"/>
  </w:num>
  <w:num w:numId="16" w16cid:durableId="428428321">
    <w:abstractNumId w:val="11"/>
  </w:num>
  <w:num w:numId="17" w16cid:durableId="939489605">
    <w:abstractNumId w:val="5"/>
  </w:num>
  <w:num w:numId="18" w16cid:durableId="447050828">
    <w:abstractNumId w:val="13"/>
  </w:num>
  <w:num w:numId="19" w16cid:durableId="1975521412">
    <w:abstractNumId w:val="12"/>
  </w:num>
  <w:num w:numId="20" w16cid:durableId="2067727242">
    <w:abstractNumId w:val="21"/>
  </w:num>
  <w:num w:numId="21" w16cid:durableId="823202551">
    <w:abstractNumId w:val="9"/>
  </w:num>
  <w:num w:numId="22" w16cid:durableId="2006201481">
    <w:abstractNumId w:val="10"/>
  </w:num>
  <w:num w:numId="23" w16cid:durableId="15386168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787C88D-13BC-4B76-9F89-48D2E0EE42FC}"/>
  </w:docVars>
  <w:rsids>
    <w:rsidRoot w:val="006C524C"/>
    <w:rsid w:val="0000082D"/>
    <w:rsid w:val="00014630"/>
    <w:rsid w:val="000400E9"/>
    <w:rsid w:val="00042B01"/>
    <w:rsid w:val="00055966"/>
    <w:rsid w:val="00056A6F"/>
    <w:rsid w:val="00061999"/>
    <w:rsid w:val="00070121"/>
    <w:rsid w:val="000859FB"/>
    <w:rsid w:val="000A4ABA"/>
    <w:rsid w:val="000A61A5"/>
    <w:rsid w:val="000B48F9"/>
    <w:rsid w:val="000C639F"/>
    <w:rsid w:val="000C7D2D"/>
    <w:rsid w:val="000E7357"/>
    <w:rsid w:val="000F61E4"/>
    <w:rsid w:val="000F774F"/>
    <w:rsid w:val="0010458B"/>
    <w:rsid w:val="00133592"/>
    <w:rsid w:val="00141A71"/>
    <w:rsid w:val="0015778D"/>
    <w:rsid w:val="00160769"/>
    <w:rsid w:val="00164C23"/>
    <w:rsid w:val="00176FF4"/>
    <w:rsid w:val="00181CEC"/>
    <w:rsid w:val="001E499F"/>
    <w:rsid w:val="001E63CB"/>
    <w:rsid w:val="001F028B"/>
    <w:rsid w:val="001F1679"/>
    <w:rsid w:val="002066C4"/>
    <w:rsid w:val="00242454"/>
    <w:rsid w:val="00291933"/>
    <w:rsid w:val="002955D8"/>
    <w:rsid w:val="002F3B26"/>
    <w:rsid w:val="003232F6"/>
    <w:rsid w:val="003744FD"/>
    <w:rsid w:val="003B413C"/>
    <w:rsid w:val="003D04CF"/>
    <w:rsid w:val="003F6C10"/>
    <w:rsid w:val="00417C37"/>
    <w:rsid w:val="00422398"/>
    <w:rsid w:val="00427F40"/>
    <w:rsid w:val="004448F5"/>
    <w:rsid w:val="00460CA2"/>
    <w:rsid w:val="00470E8F"/>
    <w:rsid w:val="00474522"/>
    <w:rsid w:val="00476558"/>
    <w:rsid w:val="00477321"/>
    <w:rsid w:val="00493B9D"/>
    <w:rsid w:val="004B3229"/>
    <w:rsid w:val="00511ACE"/>
    <w:rsid w:val="00520944"/>
    <w:rsid w:val="00554544"/>
    <w:rsid w:val="00565F38"/>
    <w:rsid w:val="00594422"/>
    <w:rsid w:val="005944D4"/>
    <w:rsid w:val="005C227E"/>
    <w:rsid w:val="005E3F8A"/>
    <w:rsid w:val="00600069"/>
    <w:rsid w:val="00606EA5"/>
    <w:rsid w:val="00621525"/>
    <w:rsid w:val="0064087A"/>
    <w:rsid w:val="00662779"/>
    <w:rsid w:val="00671CA0"/>
    <w:rsid w:val="006A442B"/>
    <w:rsid w:val="006B012B"/>
    <w:rsid w:val="006B726B"/>
    <w:rsid w:val="006C524C"/>
    <w:rsid w:val="006D018B"/>
    <w:rsid w:val="00724BB4"/>
    <w:rsid w:val="00731929"/>
    <w:rsid w:val="00732CF5"/>
    <w:rsid w:val="007478F0"/>
    <w:rsid w:val="00792FD5"/>
    <w:rsid w:val="007C40F7"/>
    <w:rsid w:val="007D6D73"/>
    <w:rsid w:val="007F19BC"/>
    <w:rsid w:val="008944F3"/>
    <w:rsid w:val="008A2F0E"/>
    <w:rsid w:val="008A5AF2"/>
    <w:rsid w:val="008E592D"/>
    <w:rsid w:val="008E7720"/>
    <w:rsid w:val="008E78CF"/>
    <w:rsid w:val="00900EC6"/>
    <w:rsid w:val="00901188"/>
    <w:rsid w:val="009B62DF"/>
    <w:rsid w:val="009E635F"/>
    <w:rsid w:val="00A3096F"/>
    <w:rsid w:val="00A63CE6"/>
    <w:rsid w:val="00A957E3"/>
    <w:rsid w:val="00A973C1"/>
    <w:rsid w:val="00AB5926"/>
    <w:rsid w:val="00AD2F54"/>
    <w:rsid w:val="00B511FB"/>
    <w:rsid w:val="00B5341A"/>
    <w:rsid w:val="00B5568B"/>
    <w:rsid w:val="00B62BD2"/>
    <w:rsid w:val="00B8221A"/>
    <w:rsid w:val="00B91F3B"/>
    <w:rsid w:val="00B93718"/>
    <w:rsid w:val="00BB23E6"/>
    <w:rsid w:val="00BF74E9"/>
    <w:rsid w:val="00BF7BFD"/>
    <w:rsid w:val="00C01834"/>
    <w:rsid w:val="00C24D59"/>
    <w:rsid w:val="00C5519A"/>
    <w:rsid w:val="00C73DBC"/>
    <w:rsid w:val="00C777D8"/>
    <w:rsid w:val="00C77F83"/>
    <w:rsid w:val="00C92ECE"/>
    <w:rsid w:val="00CA3ACF"/>
    <w:rsid w:val="00CD0AFC"/>
    <w:rsid w:val="00CE067B"/>
    <w:rsid w:val="00D214B8"/>
    <w:rsid w:val="00D320E0"/>
    <w:rsid w:val="00D35B9F"/>
    <w:rsid w:val="00D56CEB"/>
    <w:rsid w:val="00D928FC"/>
    <w:rsid w:val="00D93A54"/>
    <w:rsid w:val="00DC6EFE"/>
    <w:rsid w:val="00DF679B"/>
    <w:rsid w:val="00E4703C"/>
    <w:rsid w:val="00E53087"/>
    <w:rsid w:val="00E53357"/>
    <w:rsid w:val="00E55362"/>
    <w:rsid w:val="00E6064C"/>
    <w:rsid w:val="00E8125D"/>
    <w:rsid w:val="00E817B4"/>
    <w:rsid w:val="00EB14CD"/>
    <w:rsid w:val="00EB4E6F"/>
    <w:rsid w:val="00EE6DD6"/>
    <w:rsid w:val="00F016D9"/>
    <w:rsid w:val="00F04776"/>
    <w:rsid w:val="00F16925"/>
    <w:rsid w:val="00F56A6D"/>
    <w:rsid w:val="00FA43DA"/>
    <w:rsid w:val="00FC0DCA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E0168"/>
  <w15:docId w15:val="{B253D671-459F-42F0-BD11-FB17629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62"/>
    <w:pPr>
      <w:spacing w:after="3" w:line="265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"/>
      <w:ind w:left="366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2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D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D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D59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D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D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D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D59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63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635F"/>
    <w:rPr>
      <w:rFonts w:ascii="Calibri" w:eastAsia="Calibri" w:hAnsi="Calibri" w:cs="Calibri"/>
      <w:color w:val="000000"/>
      <w:sz w:val="18"/>
    </w:rPr>
  </w:style>
  <w:style w:type="paragraph" w:styleId="Akapitzlist">
    <w:name w:val="List Paragraph"/>
    <w:basedOn w:val="Normalny"/>
    <w:uiPriority w:val="34"/>
    <w:qFormat/>
    <w:rsid w:val="00C92ECE"/>
    <w:pPr>
      <w:ind w:left="720"/>
      <w:contextualSpacing/>
    </w:pPr>
  </w:style>
  <w:style w:type="paragraph" w:customStyle="1" w:styleId="Default">
    <w:name w:val="Default"/>
    <w:rsid w:val="00056A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93B9D"/>
    <w:pPr>
      <w:spacing w:after="0" w:line="240" w:lineRule="auto"/>
    </w:pPr>
    <w:rPr>
      <w:rFonts w:ascii="Calibri" w:eastAsia="Calibri" w:hAnsi="Calibri" w:cs="Calibri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4B32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322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C73DB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character" w:styleId="Pogrubienie">
    <w:name w:val="Strong"/>
    <w:basedOn w:val="Domylnaczcionkaakapitu"/>
    <w:uiPriority w:val="22"/>
    <w:qFormat/>
    <w:rsid w:val="00565F38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8E77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usz.panczyk@wum.edu.pl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joanna.gotlib@wum.edu.pl" TargetMode="External"/><Relationship Id="rId17" Type="http://schemas.openxmlformats.org/officeDocument/2006/relationships/hyperlink" Target="https://www.youtube.com/watch?v=3DUyzPvsMQ8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FqsvgFTQv8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anna.gotlib@wum.edu.p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N3wJwz97b8A" TargetMode="External"/><Relationship Id="rId23" Type="http://schemas.openxmlformats.org/officeDocument/2006/relationships/footer" Target="footer3.xml"/><Relationship Id="rId10" Type="http://schemas.openxmlformats.org/officeDocument/2006/relationships/hyperlink" Target="mailto:joanna.gotlib@wum.edu.pl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forbes.com/sites/lanceeliot/2025/04/09/annual-compilation-of-the-best-prompt-engineering-techniques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7C88D-13BC-4B76-9F89-48D2E0EE42F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6386FB21-0FB4-4BCE-8832-DF6D8140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1304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4B do załącznika do zarządzenia nr 68/2024 Rektora WUM z dnia 18.04.2024r.</vt:lpstr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4B do załącznika do zarządzenia nr 68/2024 Rektora WUM z dnia 18.04.2024r.</dc:title>
  <dc:subject/>
  <dc:creator>Maksymilian Radzimirski</dc:creator>
  <cp:keywords/>
  <cp:lastModifiedBy>Mariusz Panczyk</cp:lastModifiedBy>
  <cp:revision>19</cp:revision>
  <cp:lastPrinted>2024-04-19T09:59:00Z</cp:lastPrinted>
  <dcterms:created xsi:type="dcterms:W3CDTF">2025-09-22T15:22:00Z</dcterms:created>
  <dcterms:modified xsi:type="dcterms:W3CDTF">2025-10-13T08:58:00Z</dcterms:modified>
</cp:coreProperties>
</file>